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06FC" w14:textId="77777777" w:rsidR="006F14CC" w:rsidRDefault="006F14CC">
      <w:pPr>
        <w:spacing w:line="20" w:lineRule="exact"/>
        <w:rPr>
          <w:rFonts w:ascii="Arial" w:eastAsia="Times New Roman" w:hAnsi="Arial" w:cs="Arial"/>
          <w:sz w:val="28"/>
          <w:szCs w:val="28"/>
        </w:rPr>
      </w:pPr>
    </w:p>
    <w:p w14:paraId="6DBB0049" w14:textId="6F381AC1" w:rsidR="00285F52" w:rsidRDefault="00B9743A" w:rsidP="00285F52">
      <w:pPr>
        <w:pStyle w:val="a5"/>
        <w:adjustRightInd w:val="0"/>
        <w:snapToGrid w:val="0"/>
        <w:spacing w:beforeLines="100" w:before="240" w:afterLines="100" w:after="240"/>
        <w:ind w:leftChars="0" w:left="425"/>
        <w:jc w:val="center"/>
        <w:rPr>
          <w:rFonts w:ascii="Arial" w:hAnsi="Arial" w:cs="Arial"/>
          <w:b/>
          <w:bCs/>
          <w:sz w:val="32"/>
          <w:szCs w:val="32"/>
          <w:lang w:eastAsia="zh-CN"/>
        </w:rPr>
      </w:pPr>
      <w:r w:rsidRPr="00B9743A">
        <w:rPr>
          <w:rFonts w:ascii="Arial" w:hAnsi="Arial" w:cs="Arial"/>
          <w:b/>
          <w:bCs/>
          <w:sz w:val="32"/>
          <w:szCs w:val="32"/>
          <w:lang w:eastAsia="zh-CN"/>
        </w:rPr>
        <w:t>Seringue de rinçage préremplie de solution injectable de chlorure de sodium à 0,9 %</w:t>
      </w:r>
    </w:p>
    <w:p w14:paraId="35727854" w14:textId="0D6C629A" w:rsidR="00285F52" w:rsidRDefault="00B9743A" w:rsidP="00285F52">
      <w:pPr>
        <w:autoSpaceDE w:val="0"/>
        <w:autoSpaceDN w:val="0"/>
        <w:snapToGrid w:val="0"/>
        <w:spacing w:beforeLines="50" w:before="120"/>
        <w:jc w:val="center"/>
        <w:rPr>
          <w:rFonts w:ascii="Arial" w:eastAsia="宋体" w:hAnsi="Arial" w:cs="Arial"/>
          <w:b/>
          <w:bCs/>
          <w:sz w:val="32"/>
          <w:szCs w:val="32"/>
          <w:lang w:eastAsia="zh-CN" w:bidi="ar"/>
        </w:rPr>
      </w:pPr>
      <w:r w:rsidRPr="00B9743A">
        <w:rPr>
          <w:rFonts w:ascii="Arial" w:eastAsia="宋体" w:hAnsi="Arial" w:cs="Arial"/>
          <w:b/>
          <w:bCs/>
          <w:sz w:val="32"/>
          <w:szCs w:val="32"/>
          <w:lang w:eastAsia="zh-CN" w:bidi="ar"/>
        </w:rPr>
        <w:t>Notice d'utilisation</w:t>
      </w:r>
    </w:p>
    <w:p w14:paraId="2B820123" w14:textId="77777777" w:rsidR="00285F52" w:rsidRDefault="00285F52" w:rsidP="00285F52">
      <w:pPr>
        <w:pStyle w:val="a5"/>
        <w:adjustRightInd w:val="0"/>
        <w:snapToGrid w:val="0"/>
        <w:spacing w:beforeLines="100" w:before="240" w:afterLines="100" w:after="240"/>
        <w:ind w:leftChars="0" w:left="425"/>
        <w:jc w:val="center"/>
        <w:rPr>
          <w:rFonts w:ascii="Arial" w:hAnsi="Arial" w:cs="Arial"/>
          <w:b/>
          <w:bCs/>
          <w:sz w:val="24"/>
          <w:szCs w:val="24"/>
          <w:lang w:eastAsia="zh-CN"/>
        </w:rPr>
      </w:pPr>
    </w:p>
    <w:p w14:paraId="38404C40"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Nom du dispositif ou nom commercial</w:t>
      </w:r>
    </w:p>
    <w:p w14:paraId="15BA0E71" w14:textId="77777777" w:rsidR="00F55804" w:rsidRPr="00CA0E30" w:rsidRDefault="00F55804" w:rsidP="00F55804">
      <w:pPr>
        <w:pStyle w:val="a5"/>
        <w:spacing w:afterLines="100" w:after="240"/>
        <w:ind w:leftChars="0" w:left="0"/>
        <w:rPr>
          <w:rFonts w:ascii="Times New Roman" w:eastAsiaTheme="minorEastAsia" w:hAnsi="Times New Roman" w:cs="Times New Roman"/>
          <w:color w:val="000000" w:themeColor="text1"/>
          <w:sz w:val="24"/>
          <w:szCs w:val="24"/>
          <w:lang w:eastAsia="zh-CN"/>
        </w:rPr>
      </w:pPr>
      <w:r w:rsidRPr="00CA0E30">
        <w:rPr>
          <w:rFonts w:ascii="Times New Roman" w:hAnsi="Times New Roman" w:cs="Times New Roman"/>
          <w:color w:val="000000" w:themeColor="text1"/>
          <w:sz w:val="24"/>
        </w:rPr>
        <w:t>Nom du dispositif : Seringue de rinçage préremplie de solution injectable de chlorure de sodium à 0,9%</w:t>
      </w:r>
    </w:p>
    <w:p w14:paraId="1DC8BAB4" w14:textId="77777777" w:rsidR="00F55804" w:rsidRPr="00CA0E30" w:rsidRDefault="00F55804" w:rsidP="00F55804">
      <w:pPr>
        <w:pStyle w:val="a5"/>
        <w:spacing w:afterLines="100" w:after="240"/>
        <w:ind w:leftChars="0" w:left="0"/>
        <w:rPr>
          <w:rFonts w:ascii="Times New Roman" w:eastAsia="宋体" w:hAnsi="Times New Roman" w:cs="Times New Roman"/>
          <w:color w:val="000000" w:themeColor="text1"/>
          <w:sz w:val="24"/>
          <w:szCs w:val="24"/>
        </w:rPr>
      </w:pPr>
      <w:r w:rsidRPr="00CA0E30">
        <w:rPr>
          <w:rFonts w:ascii="Times New Roman" w:hAnsi="Times New Roman" w:cs="Times New Roman"/>
          <w:color w:val="000000" w:themeColor="text1"/>
          <w:sz w:val="24"/>
        </w:rPr>
        <w:t xml:space="preserve">Nom commercial : HP Flush </w:t>
      </w:r>
      <w:r w:rsidRPr="00CA0E30">
        <w:rPr>
          <w:rFonts w:ascii="Times New Roman" w:hAnsi="Times New Roman" w:cs="Times New Roman"/>
          <w:color w:val="000000" w:themeColor="text1"/>
          <w:sz w:val="24"/>
          <w:vertAlign w:val="superscript"/>
        </w:rPr>
        <w:t>TM</w:t>
      </w:r>
    </w:p>
    <w:p w14:paraId="38AF40F7"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bookmarkStart w:id="0" w:name="OLE_LINK3"/>
      <w:r w:rsidRPr="00CA0E30">
        <w:rPr>
          <w:rFonts w:ascii="Times New Roman" w:hAnsi="Times New Roman" w:cs="Times New Roman"/>
          <w:b/>
          <w:color w:val="000000" w:themeColor="text1"/>
          <w:sz w:val="24"/>
        </w:rPr>
        <w:t xml:space="preserve">Fabricant </w:t>
      </w:r>
      <w:bookmarkEnd w:id="0"/>
      <w:r w:rsidRPr="00CA0E30">
        <w:rPr>
          <w:rFonts w:ascii="Times New Roman" w:hAnsi="Times New Roman" w:cs="Times New Roman"/>
          <w:b/>
          <w:color w:val="000000" w:themeColor="text1"/>
          <w:sz w:val="24"/>
        </w:rPr>
        <w:t>et adresse</w:t>
      </w:r>
    </w:p>
    <w:p w14:paraId="365C18B3" w14:textId="77777777" w:rsidR="00F55804" w:rsidRPr="00CA0E30" w:rsidRDefault="00F55804" w:rsidP="00F55804">
      <w:pPr>
        <w:adjustRightInd w:val="0"/>
        <w:snapToGrid w:val="0"/>
        <w:spacing w:afterLines="100" w:after="240"/>
        <w:rPr>
          <w:rFonts w:ascii="Times New Roman" w:eastAsia="Calibri" w:hAnsi="Times New Roman" w:cs="Times New Roman"/>
          <w:color w:val="000000" w:themeColor="text1"/>
          <w:sz w:val="24"/>
          <w:szCs w:val="24"/>
        </w:rPr>
      </w:pPr>
      <w:r w:rsidRPr="00CA0E30">
        <w:rPr>
          <w:rFonts w:ascii="Times New Roman" w:hAnsi="Times New Roman" w:cs="Times New Roman"/>
          <w:color w:val="000000" w:themeColor="text1"/>
          <w:sz w:val="24"/>
        </w:rPr>
        <w:t>Fabricant :</w:t>
      </w:r>
      <w:r w:rsidRPr="00CA0E30">
        <w:rPr>
          <w:rFonts w:ascii="Times New Roman" w:hAnsi="Times New Roman" w:cs="Times New Roman"/>
          <w:b/>
          <w:color w:val="000000" w:themeColor="text1"/>
          <w:sz w:val="24"/>
        </w:rPr>
        <w:t xml:space="preserve"> </w:t>
      </w:r>
      <w:r w:rsidRPr="00CA0E30">
        <w:rPr>
          <w:rFonts w:ascii="Times New Roman" w:hAnsi="Times New Roman" w:cs="Times New Roman"/>
          <w:color w:val="000000" w:themeColor="text1"/>
          <w:sz w:val="24"/>
        </w:rPr>
        <w:t xml:space="preserve">Zhejiang Hope Pharma Co., </w:t>
      </w:r>
      <w:r w:rsidRPr="00CA0E30">
        <w:rPr>
          <w:rFonts w:ascii="Times New Roman" w:hAnsi="Times New Roman" w:cs="Times New Roman"/>
          <w:color w:val="000000" w:themeColor="text1"/>
          <w:sz w:val="24"/>
          <w:lang w:eastAsia="zh-CN"/>
        </w:rPr>
        <w:t>L</w:t>
      </w:r>
      <w:r w:rsidRPr="00CA0E30">
        <w:rPr>
          <w:rFonts w:ascii="Times New Roman" w:hAnsi="Times New Roman" w:cs="Times New Roman"/>
          <w:color w:val="000000" w:themeColor="text1"/>
          <w:sz w:val="24"/>
        </w:rPr>
        <w:t>td.</w:t>
      </w:r>
    </w:p>
    <w:p w14:paraId="062C641F" w14:textId="77777777" w:rsidR="00F55804" w:rsidRPr="00CA0E30" w:rsidRDefault="00F55804" w:rsidP="00F55804">
      <w:pPr>
        <w:adjustRightInd w:val="0"/>
        <w:snapToGrid w:val="0"/>
        <w:spacing w:afterLines="100" w:after="240"/>
        <w:jc w:val="both"/>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Adresse : Building 2 &amp; Building 4 (Level 2&amp;3 East), No. 1568 1st Binhai Avenue, Wenzhou Econ &amp; Tech Development Zone, Wenzhou, Zhejiang, P.R.C., 325000</w:t>
      </w:r>
    </w:p>
    <w:p w14:paraId="7009AB9C" w14:textId="77777777" w:rsidR="00F55804" w:rsidRPr="00CA0E30" w:rsidRDefault="00F55804" w:rsidP="00F55804">
      <w:pPr>
        <w:adjustRightInd w:val="0"/>
        <w:snapToGrid w:val="0"/>
        <w:spacing w:afterLines="100" w:after="240"/>
        <w:rPr>
          <w:rFonts w:ascii="Times New Roman" w:hAnsi="Times New Roman" w:cs="Times New Roman"/>
          <w:color w:val="000000" w:themeColor="text1"/>
          <w:sz w:val="24"/>
          <w:szCs w:val="24"/>
          <w:lang w:eastAsia="zh-CN"/>
        </w:rPr>
      </w:pPr>
      <w:r w:rsidRPr="00CA0E30">
        <w:rPr>
          <w:rFonts w:ascii="Times New Roman" w:hAnsi="Times New Roman" w:cs="Times New Roman"/>
          <w:color w:val="000000" w:themeColor="text1"/>
          <w:sz w:val="24"/>
        </w:rPr>
        <w:t>Tel : +86 13506510618</w:t>
      </w:r>
    </w:p>
    <w:p w14:paraId="3E098246"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 xml:space="preserve">Représentant agréé UE et </w:t>
      </w:r>
      <w:bookmarkStart w:id="1" w:name="OLE_LINK4"/>
      <w:r w:rsidRPr="00CA0E30">
        <w:rPr>
          <w:rFonts w:ascii="Times New Roman" w:hAnsi="Times New Roman" w:cs="Times New Roman"/>
          <w:b/>
          <w:color w:val="000000" w:themeColor="text1"/>
          <w:sz w:val="24"/>
        </w:rPr>
        <w:t>adresse</w:t>
      </w:r>
      <w:bookmarkEnd w:id="1"/>
    </w:p>
    <w:p w14:paraId="0DD781FD" w14:textId="77777777" w:rsidR="00F55804" w:rsidRPr="00CA0E30" w:rsidRDefault="00F55804" w:rsidP="00F55804">
      <w:pPr>
        <w:adjustRightInd w:val="0"/>
        <w:snapToGrid w:val="0"/>
        <w:spacing w:afterLines="100" w:after="24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Représentant agréé UE : MedPath GmbH</w:t>
      </w:r>
    </w:p>
    <w:p w14:paraId="1FA2701F" w14:textId="77777777" w:rsidR="00F55804" w:rsidRPr="00CA0E30" w:rsidRDefault="00F55804" w:rsidP="00F55804">
      <w:pPr>
        <w:adjustRightInd w:val="0"/>
        <w:snapToGrid w:val="0"/>
        <w:spacing w:afterLines="100" w:after="240"/>
        <w:rPr>
          <w:rFonts w:ascii="Times New Roman" w:hAnsi="Times New Roman" w:cs="Times New Roman"/>
          <w:bCs/>
          <w:color w:val="000000" w:themeColor="text1"/>
          <w:sz w:val="24"/>
          <w:szCs w:val="24"/>
          <w:lang w:val="de-DE"/>
        </w:rPr>
      </w:pPr>
      <w:r w:rsidRPr="00CA0E30">
        <w:rPr>
          <w:rFonts w:ascii="Times New Roman" w:hAnsi="Times New Roman" w:cs="Times New Roman"/>
          <w:color w:val="000000" w:themeColor="text1"/>
          <w:sz w:val="24"/>
          <w:lang w:val="de-DE"/>
        </w:rPr>
        <w:t>Adresse : Mies-van-der-Rohe-Strasse 8, 80807 Munich, Allemagne</w:t>
      </w:r>
    </w:p>
    <w:p w14:paraId="35B42B5B"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UDI de base</w:t>
      </w:r>
    </w:p>
    <w:p w14:paraId="5BF01095" w14:textId="77777777" w:rsidR="00F55804" w:rsidRPr="00CA0E30" w:rsidRDefault="00F55804" w:rsidP="00F55804">
      <w:pPr>
        <w:pStyle w:val="a5"/>
        <w:adjustRightInd w:val="0"/>
        <w:snapToGrid w:val="0"/>
        <w:spacing w:beforeLines="100" w:before="240" w:afterLines="100" w:after="240"/>
        <w:ind w:leftChars="0" w:left="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UDI de base : 697611457C3C0034K</w:t>
      </w:r>
    </w:p>
    <w:p w14:paraId="23B90BC2"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Description</w:t>
      </w:r>
    </w:p>
    <w:p w14:paraId="0D04CCF9" w14:textId="77777777" w:rsidR="00F55804" w:rsidRPr="00CA0E30" w:rsidRDefault="00F55804" w:rsidP="00F55804">
      <w:pPr>
        <w:adjustRightInd w:val="0"/>
        <w:snapToGrid w:val="0"/>
        <w:spacing w:afterLines="100" w:after="240"/>
        <w:jc w:val="both"/>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La Seringue de rinçage préremplie de solution injectable de chlorure de sodium à 0,9% est une seringue en polypropylène remplie de solution injectable de chlorure de sodium à 0,9% (USP), coiffée d'un capuchon d'embout en polypropylène. Le contenu de la seringue est stérile, non toxique et non-pyrogène</w:t>
      </w:r>
      <w:r w:rsidRPr="00CA0E30">
        <w:rPr>
          <w:rFonts w:ascii="Times New Roman" w:hAnsi="Times New Roman" w:cs="Times New Roman"/>
          <w:color w:val="000000" w:themeColor="text1"/>
          <w:sz w:val="24"/>
          <w:lang w:eastAsia="zh-CN"/>
        </w:rPr>
        <w:t>.</w:t>
      </w:r>
      <w:r w:rsidRPr="00CA0E30">
        <w:rPr>
          <w:rFonts w:ascii="Times New Roman" w:hAnsi="Times New Roman" w:cs="Times New Roman" w:hint="eastAsia"/>
          <w:color w:val="000000" w:themeColor="text1"/>
          <w:sz w:val="24"/>
          <w:lang w:eastAsia="zh-CN"/>
        </w:rPr>
        <w:t xml:space="preserve"> </w:t>
      </w:r>
      <w:r w:rsidRPr="00CA0E30">
        <w:rPr>
          <w:rFonts w:ascii="Times New Roman" w:hAnsi="Times New Roman" w:cs="Times New Roman"/>
          <w:color w:val="000000" w:themeColor="text1"/>
          <w:sz w:val="24"/>
        </w:rPr>
        <w:t>Les seringues sont emballées dans un sachet en polyéthylène (PE).</w:t>
      </w:r>
      <w:r w:rsidRPr="00CA0E30">
        <w:rPr>
          <w:rFonts w:ascii="Times New Roman" w:hAnsi="Times New Roman" w:cs="Times New Roman"/>
          <w:color w:val="000000" w:themeColor="text1"/>
        </w:rPr>
        <w:t xml:space="preserve"> </w:t>
      </w:r>
      <w:r w:rsidRPr="00CA0E30">
        <w:rPr>
          <w:rFonts w:ascii="Times New Roman" w:hAnsi="Times New Roman" w:cs="Times New Roman"/>
          <w:color w:val="000000" w:themeColor="text1"/>
          <w:sz w:val="24"/>
        </w:rPr>
        <w:t>La solution est une solution saline physiologique stérile pour injection conforme aux exigences de l'USP</w:t>
      </w:r>
      <w:r w:rsidRPr="00CA0E30">
        <w:rPr>
          <w:rFonts w:ascii="Times New Roman" w:eastAsia="微软雅黑" w:hAnsi="Times New Roman" w:cs="Times New Roman"/>
          <w:bCs/>
          <w:color w:val="000000" w:themeColor="text1"/>
          <w:sz w:val="24"/>
          <w:szCs w:val="24"/>
          <w:lang w:eastAsia="zh-CN"/>
        </w:rPr>
        <w:t>&lt;40&gt;.</w:t>
      </w:r>
    </w:p>
    <w:p w14:paraId="0C38287A" w14:textId="77777777" w:rsidR="00F55804" w:rsidRPr="00CA0E30" w:rsidRDefault="00F55804" w:rsidP="00F55804">
      <w:pPr>
        <w:snapToGrid w:val="0"/>
        <w:spacing w:beforeLines="100" w:before="240" w:afterLines="50" w:after="120"/>
        <w:rPr>
          <w:rFonts w:ascii="Times New Roman" w:hAnsi="Times New Roman" w:cs="Times New Roman"/>
          <w:b/>
          <w:color w:val="000000" w:themeColor="text1"/>
          <w:sz w:val="24"/>
          <w:szCs w:val="24"/>
        </w:rPr>
      </w:pPr>
      <w:r w:rsidRPr="00CA0E30">
        <w:rPr>
          <w:rFonts w:ascii="Times New Roman" w:hAnsi="Times New Roman" w:cs="Times New Roman"/>
          <w:b/>
          <w:color w:val="000000" w:themeColor="text1"/>
          <w:sz w:val="24"/>
        </w:rPr>
        <w:t>Description des variantes de spécifications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442"/>
      </w:tblGrid>
      <w:tr w:rsidR="00CA0E30" w:rsidRPr="00CA0E30" w14:paraId="6A314A62" w14:textId="77777777" w:rsidTr="00A02D4A">
        <w:trPr>
          <w:trHeight w:val="340"/>
        </w:trPr>
        <w:tc>
          <w:tcPr>
            <w:tcW w:w="1137" w:type="pct"/>
            <w:shd w:val="clear" w:color="auto" w:fill="FFFFFF"/>
            <w:vAlign w:val="center"/>
          </w:tcPr>
          <w:p w14:paraId="617596C0" w14:textId="77777777" w:rsidR="00F55804" w:rsidRPr="00CA0E30" w:rsidRDefault="00F55804" w:rsidP="00A02D4A">
            <w:pPr>
              <w:widowControl/>
              <w:snapToGrid w:val="0"/>
              <w:textAlignment w:val="center"/>
              <w:rPr>
                <w:rFonts w:ascii="Times New Roman" w:eastAsia="宋体" w:hAnsi="Times New Roman" w:cs="Times New Roman"/>
                <w:b/>
                <w:bCs/>
                <w:color w:val="000000" w:themeColor="text1"/>
                <w:sz w:val="24"/>
                <w:szCs w:val="24"/>
              </w:rPr>
            </w:pPr>
            <w:r w:rsidRPr="00CA0E30">
              <w:rPr>
                <w:rFonts w:ascii="Times New Roman" w:hAnsi="Times New Roman" w:cs="Times New Roman"/>
                <w:b/>
                <w:color w:val="000000" w:themeColor="text1"/>
                <w:sz w:val="24"/>
              </w:rPr>
              <w:t>Spécifications</w:t>
            </w:r>
          </w:p>
        </w:tc>
        <w:tc>
          <w:tcPr>
            <w:tcW w:w="3863" w:type="pct"/>
            <w:shd w:val="clear" w:color="auto" w:fill="FFFFFF"/>
            <w:vAlign w:val="center"/>
          </w:tcPr>
          <w:p w14:paraId="77253A0F" w14:textId="77777777" w:rsidR="00F55804" w:rsidRPr="00CA0E30" w:rsidRDefault="00F55804" w:rsidP="00A02D4A">
            <w:pPr>
              <w:widowControl/>
              <w:snapToGrid w:val="0"/>
              <w:textAlignment w:val="center"/>
              <w:rPr>
                <w:rFonts w:ascii="Times New Roman" w:eastAsia="宋体" w:hAnsi="Times New Roman" w:cs="Times New Roman"/>
                <w:b/>
                <w:bCs/>
                <w:color w:val="000000" w:themeColor="text1"/>
                <w:sz w:val="24"/>
                <w:szCs w:val="24"/>
              </w:rPr>
            </w:pPr>
            <w:r w:rsidRPr="00CA0E30">
              <w:rPr>
                <w:rFonts w:ascii="Times New Roman" w:hAnsi="Times New Roman" w:cs="Times New Roman"/>
                <w:b/>
                <w:color w:val="000000" w:themeColor="text1"/>
                <w:sz w:val="24"/>
              </w:rPr>
              <w:t>Contenu</w:t>
            </w:r>
          </w:p>
        </w:tc>
      </w:tr>
      <w:tr w:rsidR="00CA0E30" w:rsidRPr="00CA0E30" w14:paraId="2E35BC20" w14:textId="77777777" w:rsidTr="00A02D4A">
        <w:tc>
          <w:tcPr>
            <w:tcW w:w="1137" w:type="pct"/>
            <w:shd w:val="clear" w:color="auto" w:fill="FFFFFF"/>
            <w:vAlign w:val="center"/>
          </w:tcPr>
          <w:p w14:paraId="7FFF7208" w14:textId="77777777" w:rsidR="00F55804" w:rsidRPr="00CA0E30" w:rsidRDefault="00F55804" w:rsidP="00A02D4A">
            <w:pPr>
              <w:widowControl/>
              <w:snapToGrid w:val="0"/>
              <w:textAlignment w:val="center"/>
              <w:rPr>
                <w:rFonts w:ascii="Times New Roman" w:eastAsia="宋体" w:hAnsi="Times New Roman" w:cs="Times New Roman"/>
                <w:color w:val="000000" w:themeColor="text1"/>
                <w:sz w:val="24"/>
                <w:szCs w:val="24"/>
              </w:rPr>
            </w:pPr>
            <w:r w:rsidRPr="00CA0E30">
              <w:rPr>
                <w:rFonts w:ascii="Times New Roman" w:hAnsi="Times New Roman" w:cs="Times New Roman"/>
                <w:color w:val="000000" w:themeColor="text1"/>
                <w:sz w:val="24"/>
              </w:rPr>
              <w:t>HBYC-3mL</w:t>
            </w:r>
          </w:p>
        </w:tc>
        <w:tc>
          <w:tcPr>
            <w:tcW w:w="3863" w:type="pct"/>
            <w:shd w:val="clear" w:color="auto" w:fill="FFFFFF"/>
            <w:vAlign w:val="center"/>
          </w:tcPr>
          <w:p w14:paraId="05C69459" w14:textId="77777777" w:rsidR="00F55804" w:rsidRPr="00CA0E30" w:rsidRDefault="00F55804" w:rsidP="00A02D4A">
            <w:pPr>
              <w:widowControl/>
              <w:snapToGrid w:val="0"/>
              <w:jc w:val="both"/>
              <w:textAlignment w:val="center"/>
              <w:rPr>
                <w:rFonts w:ascii="Times New Roman" w:eastAsia="宋体" w:hAnsi="Times New Roman" w:cs="Times New Roman"/>
                <w:color w:val="000000" w:themeColor="text1"/>
                <w:sz w:val="24"/>
                <w:szCs w:val="24"/>
              </w:rPr>
            </w:pPr>
            <w:r w:rsidRPr="00CA0E30">
              <w:rPr>
                <w:rFonts w:ascii="Times New Roman" w:hAnsi="Times New Roman" w:cs="Times New Roman"/>
                <w:color w:val="000000" w:themeColor="text1"/>
                <w:sz w:val="24"/>
              </w:rPr>
              <w:t>Seringue de rinçage préremplie de solution injectable de chlorure de sodium à 0,9%, 3 ml dans une seringue de 5 ml</w:t>
            </w:r>
          </w:p>
        </w:tc>
      </w:tr>
      <w:tr w:rsidR="00CA0E30" w:rsidRPr="00CA0E30" w14:paraId="114708CB" w14:textId="77777777" w:rsidTr="00A02D4A">
        <w:tc>
          <w:tcPr>
            <w:tcW w:w="1137" w:type="pct"/>
            <w:shd w:val="clear" w:color="auto" w:fill="FFFFFF"/>
            <w:vAlign w:val="center"/>
          </w:tcPr>
          <w:p w14:paraId="5E7EEE64" w14:textId="77777777" w:rsidR="00F55804" w:rsidRPr="00CA0E30" w:rsidRDefault="00F55804" w:rsidP="00A02D4A">
            <w:pPr>
              <w:widowControl/>
              <w:snapToGrid w:val="0"/>
              <w:textAlignment w:val="center"/>
              <w:rPr>
                <w:rFonts w:ascii="Times New Roman" w:eastAsia="宋体" w:hAnsi="Times New Roman" w:cs="Times New Roman"/>
                <w:color w:val="000000" w:themeColor="text1"/>
                <w:sz w:val="24"/>
                <w:szCs w:val="24"/>
              </w:rPr>
            </w:pPr>
            <w:r w:rsidRPr="00CA0E30">
              <w:rPr>
                <w:rFonts w:ascii="Times New Roman" w:hAnsi="Times New Roman" w:cs="Times New Roman"/>
                <w:color w:val="000000" w:themeColor="text1"/>
                <w:sz w:val="24"/>
              </w:rPr>
              <w:t>HBYC-5mL</w:t>
            </w:r>
          </w:p>
        </w:tc>
        <w:tc>
          <w:tcPr>
            <w:tcW w:w="3863" w:type="pct"/>
            <w:shd w:val="clear" w:color="auto" w:fill="FFFFFF"/>
            <w:vAlign w:val="center"/>
          </w:tcPr>
          <w:p w14:paraId="468C5934" w14:textId="77777777" w:rsidR="00F55804" w:rsidRPr="00CA0E30" w:rsidRDefault="00F55804" w:rsidP="00A02D4A">
            <w:pPr>
              <w:widowControl/>
              <w:snapToGrid w:val="0"/>
              <w:jc w:val="both"/>
              <w:textAlignment w:val="center"/>
              <w:rPr>
                <w:rFonts w:ascii="Times New Roman" w:eastAsia="宋体" w:hAnsi="Times New Roman" w:cs="Times New Roman"/>
                <w:color w:val="000000" w:themeColor="text1"/>
                <w:sz w:val="24"/>
                <w:szCs w:val="24"/>
              </w:rPr>
            </w:pPr>
            <w:r w:rsidRPr="00CA0E30">
              <w:rPr>
                <w:rFonts w:ascii="Times New Roman" w:hAnsi="Times New Roman" w:cs="Times New Roman"/>
                <w:color w:val="000000" w:themeColor="text1"/>
                <w:sz w:val="24"/>
              </w:rPr>
              <w:t>Seringue de rinçage préremplie de solution injectable de chlorure de sodium à 0,9%, 5 ml dans une seringue de 5 ml</w:t>
            </w:r>
          </w:p>
        </w:tc>
      </w:tr>
      <w:tr w:rsidR="00CA0E30" w:rsidRPr="00CA0E30" w14:paraId="4FB62D28" w14:textId="77777777" w:rsidTr="00A02D4A">
        <w:tc>
          <w:tcPr>
            <w:tcW w:w="1137" w:type="pct"/>
            <w:shd w:val="clear" w:color="auto" w:fill="FFFFFF"/>
            <w:vAlign w:val="center"/>
          </w:tcPr>
          <w:p w14:paraId="6D29129C" w14:textId="77777777" w:rsidR="00F55804" w:rsidRPr="00CA0E30" w:rsidRDefault="00F55804" w:rsidP="00A02D4A">
            <w:pPr>
              <w:widowControl/>
              <w:snapToGrid w:val="0"/>
              <w:textAlignment w:val="center"/>
              <w:rPr>
                <w:rFonts w:ascii="Times New Roman" w:eastAsia="宋体" w:hAnsi="Times New Roman" w:cs="Times New Roman"/>
                <w:color w:val="000000" w:themeColor="text1"/>
                <w:sz w:val="24"/>
                <w:szCs w:val="24"/>
              </w:rPr>
            </w:pPr>
            <w:r w:rsidRPr="00CA0E30">
              <w:rPr>
                <w:rFonts w:ascii="Times New Roman" w:hAnsi="Times New Roman" w:cs="Times New Roman"/>
                <w:color w:val="000000" w:themeColor="text1"/>
                <w:sz w:val="24"/>
              </w:rPr>
              <w:t>HBYC-10mL</w:t>
            </w:r>
          </w:p>
        </w:tc>
        <w:tc>
          <w:tcPr>
            <w:tcW w:w="3863" w:type="pct"/>
            <w:shd w:val="clear" w:color="auto" w:fill="FFFFFF"/>
            <w:vAlign w:val="center"/>
          </w:tcPr>
          <w:p w14:paraId="5BBBD3B8" w14:textId="77777777" w:rsidR="00F55804" w:rsidRPr="00CA0E30" w:rsidRDefault="00F55804" w:rsidP="00A02D4A">
            <w:pPr>
              <w:widowControl/>
              <w:snapToGrid w:val="0"/>
              <w:jc w:val="both"/>
              <w:textAlignment w:val="center"/>
              <w:rPr>
                <w:rFonts w:ascii="Times New Roman" w:eastAsia="宋体" w:hAnsi="Times New Roman" w:cs="Times New Roman"/>
                <w:color w:val="000000" w:themeColor="text1"/>
                <w:sz w:val="24"/>
                <w:szCs w:val="24"/>
              </w:rPr>
            </w:pPr>
            <w:r w:rsidRPr="00CA0E30">
              <w:rPr>
                <w:rFonts w:ascii="Times New Roman" w:hAnsi="Times New Roman" w:cs="Times New Roman"/>
                <w:color w:val="000000" w:themeColor="text1"/>
                <w:sz w:val="24"/>
              </w:rPr>
              <w:t>Seringue de rinçage préremplie de solution injectable de chlorure de sodium à 0,9%, 10 ml dans une seringue de 10 ml</w:t>
            </w:r>
          </w:p>
        </w:tc>
      </w:tr>
    </w:tbl>
    <w:p w14:paraId="1AEF4647"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Usage prévu</w:t>
      </w:r>
    </w:p>
    <w:p w14:paraId="6867D719" w14:textId="77777777" w:rsidR="00F55804" w:rsidRPr="00CA0E30" w:rsidRDefault="00F55804" w:rsidP="00F55804">
      <w:pPr>
        <w:snapToGrid w:val="0"/>
        <w:spacing w:afterLines="100" w:after="240"/>
        <w:jc w:val="both"/>
        <w:rPr>
          <w:rFonts w:ascii="Times New Roman" w:eastAsia="宋体" w:hAnsi="Times New Roman" w:cs="Times New Roman"/>
          <w:color w:val="000000" w:themeColor="text1"/>
          <w:sz w:val="24"/>
          <w:szCs w:val="24"/>
        </w:rPr>
      </w:pPr>
      <w:r w:rsidRPr="00CA0E30">
        <w:rPr>
          <w:rFonts w:ascii="Times New Roman" w:eastAsia="宋体" w:hAnsi="Times New Roman" w:cs="Times New Roman"/>
          <w:color w:val="000000" w:themeColor="text1"/>
          <w:sz w:val="24"/>
          <w:szCs w:val="24"/>
        </w:rPr>
        <w:lastRenderedPageBreak/>
        <w:t>La Seringue de rinçage préremplie de solution injectable de chlorure de sodium à 0,9% est destinée exclusivement au rinçage des dispositifs d'accès vasculaire in situ.</w:t>
      </w:r>
    </w:p>
    <w:p w14:paraId="72B3DAF5" w14:textId="77777777" w:rsidR="00F55804" w:rsidRPr="00CA0E30" w:rsidRDefault="00F55804" w:rsidP="00F55804">
      <w:pPr>
        <w:snapToGrid w:val="0"/>
        <w:spacing w:afterLines="100" w:after="240"/>
        <w:jc w:val="both"/>
        <w:rPr>
          <w:rFonts w:ascii="Times New Roman" w:eastAsia="宋体" w:hAnsi="Times New Roman" w:cs="Times New Roman"/>
          <w:color w:val="000000" w:themeColor="text1"/>
          <w:sz w:val="24"/>
          <w:szCs w:val="24"/>
        </w:rPr>
      </w:pPr>
      <w:r w:rsidRPr="00CA0E30">
        <w:rPr>
          <w:rFonts w:ascii="Times New Roman" w:eastAsia="宋体" w:hAnsi="Times New Roman" w:cs="Times New Roman"/>
          <w:color w:val="000000" w:themeColor="text1"/>
          <w:sz w:val="24"/>
          <w:szCs w:val="24"/>
        </w:rPr>
        <w:t>La Seringue de rinçage préremplie de solution injectable de chlorure de sodium à 0,9% n'est pas destinée à la reconstitution de produits secs, à la dilution de médicaments ou aux cas où une thérapie intraveineuse avec du chlorure de sodium est indiquée.</w:t>
      </w:r>
    </w:p>
    <w:p w14:paraId="78E3D306"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Utilisateur prévu</w:t>
      </w:r>
    </w:p>
    <w:p w14:paraId="57238E48" w14:textId="77777777" w:rsidR="00F55804" w:rsidRPr="00CA0E30" w:rsidRDefault="00F55804" w:rsidP="00F55804">
      <w:pPr>
        <w:snapToGrid w:val="0"/>
        <w:spacing w:afterLines="100" w:after="240"/>
        <w:jc w:val="both"/>
        <w:rPr>
          <w:rFonts w:ascii="Times New Roman" w:eastAsia="宋体" w:hAnsi="Times New Roman" w:cs="Times New Roman"/>
          <w:color w:val="000000" w:themeColor="text1"/>
          <w:sz w:val="24"/>
          <w:szCs w:val="24"/>
        </w:rPr>
      </w:pPr>
      <w:r w:rsidRPr="00CA0E30">
        <w:rPr>
          <w:rFonts w:ascii="Times New Roman" w:eastAsia="宋体" w:hAnsi="Times New Roman" w:cs="Times New Roman"/>
          <w:color w:val="000000" w:themeColor="text1"/>
          <w:sz w:val="24"/>
          <w:szCs w:val="24"/>
        </w:rPr>
        <w:t>À utiliser uniquement par des professionnels de santé formés aux procédures d'accès vasculaire et familiarisés avec l'utilisation de ce type de dispositif.</w:t>
      </w:r>
    </w:p>
    <w:p w14:paraId="0A1638CD"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bookmarkStart w:id="2" w:name="_Toc147997966"/>
      <w:bookmarkStart w:id="3" w:name="_Toc32533"/>
      <w:r w:rsidRPr="00CA0E30">
        <w:rPr>
          <w:rFonts w:ascii="Times New Roman" w:hAnsi="Times New Roman" w:cs="Times New Roman"/>
          <w:b/>
          <w:color w:val="000000" w:themeColor="text1"/>
          <w:sz w:val="24"/>
        </w:rPr>
        <w:t>Population de patients</w:t>
      </w:r>
      <w:bookmarkEnd w:id="2"/>
      <w:bookmarkEnd w:id="3"/>
    </w:p>
    <w:p w14:paraId="118DBF62" w14:textId="77777777" w:rsidR="00F55804" w:rsidRPr="00CA0E30" w:rsidRDefault="00F55804" w:rsidP="00F55804">
      <w:pPr>
        <w:pStyle w:val="a5"/>
        <w:adjustRightInd w:val="0"/>
        <w:snapToGrid w:val="0"/>
        <w:spacing w:beforeLines="100" w:before="240" w:afterLines="100" w:after="240"/>
        <w:ind w:leftChars="0" w:left="0"/>
        <w:rPr>
          <w:rFonts w:ascii="Times New Roman" w:eastAsiaTheme="minorEastAsia" w:hAnsi="Times New Roman" w:cs="Times New Roman"/>
          <w:b/>
          <w:bCs/>
          <w:color w:val="000000" w:themeColor="text1"/>
          <w:sz w:val="24"/>
          <w:szCs w:val="24"/>
          <w:lang w:eastAsia="zh-CN"/>
        </w:rPr>
      </w:pPr>
      <w:r w:rsidRPr="00CA0E30">
        <w:rPr>
          <w:rFonts w:ascii="Times New Roman" w:eastAsia="宋体" w:hAnsi="Times New Roman" w:cs="Times New Roman"/>
          <w:color w:val="000000" w:themeColor="text1"/>
          <w:sz w:val="24"/>
          <w:szCs w:val="24"/>
        </w:rPr>
        <w:t>La seringue de rinçage HP Flush™ à 0,9% de chlorure de sodium est utilisée chez les patients porteurs :</w:t>
      </w:r>
      <w:r w:rsidRPr="00CA0E30">
        <w:rPr>
          <w:rFonts w:ascii="Times New Roman" w:eastAsia="宋体" w:hAnsi="Times New Roman" w:cs="Times New Roman"/>
          <w:color w:val="000000" w:themeColor="text1"/>
          <w:sz w:val="24"/>
          <w:szCs w:val="24"/>
          <w:lang w:eastAsia="zh-CN"/>
        </w:rPr>
        <w:t xml:space="preserve"> </w:t>
      </w:r>
      <w:r w:rsidRPr="00CA0E30">
        <w:rPr>
          <w:rFonts w:ascii="Times New Roman" w:eastAsiaTheme="minorEastAsia" w:hAnsi="Times New Roman" w:cs="Times New Roman"/>
          <w:color w:val="000000" w:themeColor="text1"/>
          <w:sz w:val="24"/>
          <w:szCs w:val="22"/>
        </w:rPr>
        <w:t>de cathéters veineux périphériques in situ (PIVC) ;</w:t>
      </w:r>
      <w:r w:rsidRPr="00CA0E30">
        <w:rPr>
          <w:rFonts w:ascii="Times New Roman" w:eastAsiaTheme="minorEastAsia" w:hAnsi="Times New Roman" w:cs="Times New Roman"/>
          <w:color w:val="000000" w:themeColor="text1"/>
          <w:sz w:val="24"/>
          <w:szCs w:val="22"/>
          <w:lang w:eastAsia="zh-CN"/>
        </w:rPr>
        <w:t xml:space="preserve"> </w:t>
      </w:r>
      <w:r w:rsidRPr="00CA0E30">
        <w:rPr>
          <w:rFonts w:ascii="Times New Roman" w:eastAsiaTheme="minorEastAsia" w:hAnsi="Times New Roman" w:cs="Times New Roman"/>
          <w:color w:val="000000" w:themeColor="text1"/>
          <w:sz w:val="24"/>
          <w:szCs w:val="22"/>
        </w:rPr>
        <w:t>de cathéters centraux à insertion périphérique (PICC) ;de cathéters veineux centraux (CVC) ;</w:t>
      </w:r>
      <w:r w:rsidRPr="00CA0E30">
        <w:rPr>
          <w:rFonts w:ascii="Times New Roman" w:eastAsia="宋体" w:hAnsi="Times New Roman" w:cs="Times New Roman"/>
          <w:color w:val="000000" w:themeColor="text1"/>
          <w:sz w:val="24"/>
          <w:szCs w:val="24"/>
        </w:rPr>
        <w:t>de chambres à implant veineux.</w:t>
      </w:r>
      <w:r w:rsidRPr="00CA0E30">
        <w:rPr>
          <w:rFonts w:ascii="Times New Roman" w:eastAsia="宋体" w:hAnsi="Times New Roman" w:cs="Times New Roman"/>
          <w:color w:val="000000" w:themeColor="text1"/>
          <w:sz w:val="24"/>
          <w:szCs w:val="24"/>
        </w:rPr>
        <w:cr/>
        <w:t>Ce produit convient aux populations adultes et pédiatriques.</w:t>
      </w:r>
      <w:r w:rsidRPr="00CA0E30">
        <w:rPr>
          <w:rFonts w:ascii="Times New Roman" w:hAnsi="Times New Roman" w:cs="Times New Roman"/>
          <w:color w:val="000000" w:themeColor="text1"/>
          <w:sz w:val="24"/>
          <w:szCs w:val="24"/>
        </w:rPr>
        <w:t xml:space="preserve"> Ce produit ne présente aucune restriction d'âge dans la population de patients. Il convient ainsi aux nouveau-nés, aux enfants et aux adultes.</w:t>
      </w:r>
    </w:p>
    <w:p w14:paraId="05F3BAD8" w14:textId="77777777" w:rsidR="00F55804" w:rsidRPr="00CA0E30" w:rsidRDefault="00F55804" w:rsidP="00F55804">
      <w:pPr>
        <w:pStyle w:val="a5"/>
        <w:adjustRightInd w:val="0"/>
        <w:snapToGrid w:val="0"/>
        <w:spacing w:beforeLines="100" w:before="240" w:afterLines="100" w:after="240"/>
        <w:rPr>
          <w:rFonts w:ascii="Times New Roman" w:eastAsia="宋体" w:hAnsi="Times New Roman" w:cs="Times New Roman"/>
          <w:color w:val="000000" w:themeColor="text1"/>
          <w:sz w:val="24"/>
          <w:szCs w:val="24"/>
          <w:lang w:eastAsia="zh-CN"/>
        </w:rPr>
      </w:pPr>
    </w:p>
    <w:p w14:paraId="72539255"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eastAsia="宋体" w:hAnsi="Times New Roman" w:cs="Times New Roman"/>
          <w:color w:val="000000" w:themeColor="text1"/>
          <w:sz w:val="24"/>
          <w:szCs w:val="24"/>
        </w:rPr>
      </w:pPr>
      <w:r w:rsidRPr="00CA0E30">
        <w:rPr>
          <w:rFonts w:ascii="Times New Roman" w:hAnsi="Times New Roman" w:cs="Times New Roman"/>
          <w:b/>
          <w:color w:val="000000" w:themeColor="text1"/>
          <w:sz w:val="24"/>
        </w:rPr>
        <w:t>Contre-indications</w:t>
      </w:r>
    </w:p>
    <w:p w14:paraId="0B21CAFB" w14:textId="77777777" w:rsidR="00F55804" w:rsidRPr="00CA0E30" w:rsidRDefault="00F55804" w:rsidP="00F55804">
      <w:pPr>
        <w:snapToGrid w:val="0"/>
        <w:spacing w:afterLines="100" w:after="240"/>
        <w:jc w:val="both"/>
        <w:rPr>
          <w:rFonts w:ascii="Times New Roman" w:eastAsia="宋体" w:hAnsi="Times New Roman" w:cs="Times New Roman"/>
          <w:color w:val="000000" w:themeColor="text1"/>
          <w:sz w:val="24"/>
          <w:szCs w:val="24"/>
        </w:rPr>
      </w:pPr>
      <w:r w:rsidRPr="00CA0E30">
        <w:rPr>
          <w:rFonts w:ascii="Times New Roman" w:hAnsi="Times New Roman" w:cs="Times New Roman"/>
          <w:color w:val="000000" w:themeColor="text1"/>
          <w:sz w:val="24"/>
        </w:rPr>
        <w:t>Inconnu.</w:t>
      </w:r>
    </w:p>
    <w:p w14:paraId="2A74BBA7"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bookmarkStart w:id="4" w:name="_Toc19"/>
      <w:r w:rsidRPr="00CA0E30">
        <w:rPr>
          <w:rFonts w:ascii="Times New Roman" w:hAnsi="Times New Roman" w:cs="Times New Roman"/>
          <w:b/>
          <w:color w:val="000000" w:themeColor="text1"/>
          <w:sz w:val="24"/>
        </w:rPr>
        <w:t>Environnement d'utilisation</w:t>
      </w:r>
      <w:bookmarkEnd w:id="4"/>
    </w:p>
    <w:p w14:paraId="5B4FBF8C" w14:textId="77777777" w:rsidR="00F55804" w:rsidRPr="00CA0E30" w:rsidRDefault="00F55804" w:rsidP="00F55804">
      <w:pPr>
        <w:pStyle w:val="a5"/>
        <w:adjustRightInd w:val="0"/>
        <w:snapToGrid w:val="0"/>
        <w:spacing w:beforeLines="100" w:before="240" w:afterLines="100" w:after="240"/>
        <w:ind w:leftChars="0" w:left="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Environnement non stérile en établissement médical.</w:t>
      </w:r>
    </w:p>
    <w:p w14:paraId="1D743B72"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Effets secondaires, interactions et complications</w:t>
      </w:r>
    </w:p>
    <w:p w14:paraId="0F19593C" w14:textId="77777777" w:rsidR="00F55804" w:rsidRPr="00CA0E30" w:rsidRDefault="00F55804" w:rsidP="00F55804">
      <w:pPr>
        <w:adjustRightInd w:val="0"/>
        <w:snapToGrid w:val="0"/>
        <w:spacing w:beforeLines="100" w:before="240" w:afterLines="100" w:after="240"/>
        <w:jc w:val="both"/>
        <w:rPr>
          <w:rFonts w:ascii="Times New Roman" w:hAnsi="Times New Roman" w:cs="Times New Roman"/>
          <w:b/>
          <w:bCs/>
          <w:color w:val="000000" w:themeColor="text1"/>
          <w:sz w:val="24"/>
          <w:lang w:eastAsia="zh-CN"/>
        </w:rPr>
      </w:pPr>
      <w:r w:rsidRPr="00CA0E30">
        <w:rPr>
          <w:rFonts w:ascii="Times New Roman" w:hAnsi="Times New Roman" w:cs="Times New Roman"/>
          <w:color w:val="000000" w:themeColor="text1"/>
          <w:sz w:val="24"/>
        </w:rPr>
        <w:t>Le chapitre 38 'Rinçage et verrouillage', section 5 des Normes de pratique en thérapie infusionnelle (2024) publiées par l'Infusion Nurses Society (INS) décrit des effets indésirables potentiels associés à ce produit :</w:t>
      </w:r>
    </w:p>
    <w:p w14:paraId="5A811DF3" w14:textId="77777777" w:rsidR="00F55804" w:rsidRPr="00CA0E30" w:rsidRDefault="00F55804" w:rsidP="00F55804">
      <w:pPr>
        <w:adjustRightInd w:val="0"/>
        <w:snapToGrid w:val="0"/>
        <w:spacing w:beforeLines="100" w:before="240" w:afterLines="100" w:after="240"/>
        <w:jc w:val="both"/>
        <w:rPr>
          <w:rFonts w:ascii="Times New Roman" w:hAnsi="Times New Roman" w:cs="Times New Roman"/>
          <w:color w:val="000000" w:themeColor="text1"/>
          <w:sz w:val="24"/>
          <w:lang w:eastAsia="zh-CN"/>
        </w:rPr>
      </w:pPr>
      <w:r w:rsidRPr="00CA0E30">
        <w:rPr>
          <w:rFonts w:ascii="Times New Roman" w:hAnsi="Times New Roman" w:cs="Times New Roman"/>
          <w:color w:val="000000" w:themeColor="text1"/>
          <w:sz w:val="24"/>
          <w:lang w:eastAsia="zh-CN"/>
        </w:rPr>
        <w:t>—5.</w:t>
      </w:r>
      <w:r w:rsidRPr="00CA0E30">
        <w:rPr>
          <w:rFonts w:ascii="Times New Roman" w:hAnsi="Times New Roman" w:cs="Times New Roman"/>
          <w:i/>
          <w:iCs/>
          <w:color w:val="000000" w:themeColor="text1"/>
          <w:sz w:val="24"/>
        </w:rPr>
        <w:t>Si un patient signale des troubles du goût et des odeurs étranges, informez-le que les seringues de rinçage préremplies sont occasionnellement associées à ces symptômes et qu'ils ont été observés plus fréquemment lors du rinçage des dispositifs d'accès veineux centraux (DAVC) que lors de l'utilisation de cathéters intraveineux périphériques (CIP). La cause serait liée à la libération de substance</w:t>
      </w:r>
      <w:r w:rsidRPr="00CA0E30">
        <w:rPr>
          <w:rFonts w:ascii="Times New Roman" w:hAnsi="Times New Roman" w:cs="Times New Roman"/>
          <w:b/>
          <w:bCs/>
          <w:i/>
          <w:iCs/>
          <w:color w:val="000000" w:themeColor="text1"/>
          <w:sz w:val="24"/>
        </w:rPr>
        <w:t>s</w:t>
      </w:r>
      <w:r w:rsidRPr="00CA0E30">
        <w:rPr>
          <w:rFonts w:ascii="Times New Roman" w:hAnsi="Times New Roman" w:cs="Times New Roman"/>
          <w:b/>
          <w:bCs/>
          <w:i/>
          <w:iCs/>
          <w:color w:val="000000" w:themeColor="text1"/>
          <w:sz w:val="24"/>
          <w:lang w:eastAsia="zh-CN"/>
        </w:rPr>
        <w:t xml:space="preserve"> </w:t>
      </w:r>
      <w:r w:rsidRPr="00CA0E30">
        <w:rPr>
          <w:rFonts w:ascii="Times New Roman" w:hAnsi="Times New Roman" w:cs="Times New Roman"/>
          <w:i/>
          <w:iCs/>
          <w:color w:val="000000" w:themeColor="text1"/>
          <w:sz w:val="24"/>
        </w:rPr>
        <w:t>par la seringue en plastique en raison des méthodes de stérilisation. Ces sensations peuvent être suffisamment marquées pour affecter l'appétit et augmenter les nausées, surtout si l'injection est administrée rapidement. Cette sensation peut être atténuée en réduisant la vitesse d'injection. Rassurez le patient en lui indiquant que ces effets disparaîtront une fois l'injection/le rinçage terminé.</w:t>
      </w:r>
    </w:p>
    <w:p w14:paraId="2666D43D" w14:textId="77777777" w:rsidR="00F55804" w:rsidRPr="00CA0E30" w:rsidRDefault="00F55804" w:rsidP="00F55804">
      <w:pPr>
        <w:adjustRightInd w:val="0"/>
        <w:snapToGrid w:val="0"/>
        <w:spacing w:beforeLines="100" w:before="240" w:afterLines="100" w:after="240"/>
        <w:jc w:val="both"/>
        <w:rPr>
          <w:rFonts w:ascii="Times New Roman" w:hAnsi="Times New Roman" w:cs="Times New Roman"/>
          <w:color w:val="000000" w:themeColor="text1"/>
          <w:sz w:val="24"/>
          <w:lang w:eastAsia="zh-CN"/>
        </w:rPr>
      </w:pPr>
      <w:r w:rsidRPr="00CA0E30">
        <w:rPr>
          <w:rFonts w:ascii="Times New Roman" w:hAnsi="Times New Roman" w:cs="Times New Roman"/>
          <w:color w:val="000000" w:themeColor="text1"/>
          <w:sz w:val="24"/>
        </w:rPr>
        <w:t xml:space="preserve">Le contenu ci-dessus correspond aux descriptions des effets secondaires potentiels de ce produit, telles qu'elles figurent dans les normes cliniques publiées par les autorités compétentes que nous avons identifiées à ce jour. La recommandation est classée comme preuve de niveau intermédiaire (niveau III), conclusion tirée d'une étude randomisée contrôlée portant sur 50 patients âgés de 6 à 18 ans. </w:t>
      </w:r>
      <w:r w:rsidRPr="00CA0E30">
        <w:rPr>
          <w:rFonts w:ascii="Times New Roman" w:hAnsi="Times New Roman" w:cs="Times New Roman"/>
          <w:i/>
          <w:iCs/>
          <w:color w:val="000000" w:themeColor="text1"/>
          <w:sz w:val="24"/>
        </w:rPr>
        <w:t>« Troubles du goût et de l'odorat chez les patients pédiatriques lors d'un rinçage intraveineux avec du sérum physiologique, administré par seringues préremplies ou préparées sur demande : étude randomisée en simple aveugle » (Mancini et al., 2014)</w:t>
      </w:r>
      <w:r w:rsidRPr="00CA0E30">
        <w:rPr>
          <w:rFonts w:ascii="Times New Roman" w:hAnsi="Times New Roman" w:cs="Times New Roman"/>
          <w:color w:val="000000" w:themeColor="text1"/>
          <w:shd w:val="clear" w:color="auto" w:fill="FFFFFF"/>
          <w:lang w:eastAsia="zh-CN"/>
        </w:rPr>
        <w:t>.</w:t>
      </w:r>
      <w:r w:rsidRPr="00CA0E30">
        <w:rPr>
          <w:rFonts w:ascii="Times New Roman" w:hAnsi="Times New Roman" w:cs="Times New Roman"/>
          <w:color w:val="000000" w:themeColor="text1"/>
          <w:sz w:val="24"/>
        </w:rPr>
        <w:t xml:space="preserve">Par conséquent, le contenu de cette clause sera mis à jour si nécessaire, en fonction des résultats des évaluations cliniques périodiques de </w:t>
      </w:r>
      <w:r w:rsidRPr="00CA0E30">
        <w:rPr>
          <w:rFonts w:ascii="Times New Roman" w:hAnsi="Times New Roman" w:cs="Times New Roman"/>
          <w:color w:val="000000" w:themeColor="text1"/>
          <w:sz w:val="24"/>
        </w:rPr>
        <w:lastRenderedPageBreak/>
        <w:t>ce produit.</w:t>
      </w:r>
    </w:p>
    <w:p w14:paraId="51E8DD49" w14:textId="77777777" w:rsidR="00F55804" w:rsidRPr="00CA0E30" w:rsidRDefault="00F55804" w:rsidP="00F55804">
      <w:pPr>
        <w:adjustRightInd w:val="0"/>
        <w:snapToGrid w:val="0"/>
        <w:spacing w:beforeLines="100" w:before="240" w:afterLines="100" w:after="240"/>
        <w:ind w:leftChars="37" w:left="81"/>
        <w:jc w:val="both"/>
        <w:rPr>
          <w:rFonts w:ascii="Times New Roman" w:hAnsi="Times New Roman" w:cs="Times New Roman"/>
          <w:color w:val="000000" w:themeColor="text1"/>
          <w:sz w:val="24"/>
          <w:szCs w:val="24"/>
          <w:lang w:eastAsia="zh-CN"/>
        </w:rPr>
      </w:pPr>
      <w:r w:rsidRPr="00CA0E30">
        <w:rPr>
          <w:rFonts w:ascii="Times New Roman" w:hAnsi="Times New Roman" w:cs="Times New Roman"/>
          <w:color w:val="000000" w:themeColor="text1"/>
          <w:sz w:val="24"/>
          <w:szCs w:val="24"/>
          <w:lang w:eastAsia="zh-CN"/>
        </w:rPr>
        <w:t>B. Les complications possibles et/ou les réactions indésirables associées au rinçage peuvent inclure : septicémie, infections (localisées/systémiques), exposition au sang par voie muqueuse ou cutanée, exposition à des pathogènes transmissibles par le sang, embolie gazeuse, embolie particulaire, caillots sanguins, phlébite, fuite pouvant entraîner une exposition à des médicaments ou liquides dangereux, irritation, un goût ou une odeur transitoire pendant le rinçage. L'utilisation d'un produit de solution saline normale contaminé peut entraîner une infection et éventuellement la mort.</w:t>
      </w:r>
    </w:p>
    <w:p w14:paraId="6D7E0B0A" w14:textId="77777777" w:rsidR="00F55804" w:rsidRPr="00CA0E30" w:rsidRDefault="00F55804" w:rsidP="00F55804">
      <w:pPr>
        <w:adjustRightInd w:val="0"/>
        <w:snapToGrid w:val="0"/>
        <w:spacing w:beforeLines="100" w:before="240" w:afterLines="100" w:after="240"/>
        <w:ind w:leftChars="37" w:left="81"/>
        <w:jc w:val="both"/>
        <w:rPr>
          <w:rFonts w:ascii="Times New Roman" w:hAnsi="Times New Roman" w:cs="Times New Roman"/>
          <w:color w:val="000000" w:themeColor="text1"/>
          <w:sz w:val="24"/>
          <w:szCs w:val="24"/>
          <w:lang w:eastAsia="zh-CN"/>
        </w:rPr>
      </w:pPr>
      <w:r w:rsidRPr="00CA0E30">
        <w:rPr>
          <w:rFonts w:ascii="Times New Roman" w:hAnsi="Times New Roman" w:cs="Times New Roman"/>
          <w:color w:val="000000" w:themeColor="text1"/>
          <w:sz w:val="24"/>
          <w:szCs w:val="24"/>
          <w:lang w:eastAsia="zh-CN"/>
        </w:rPr>
        <w:t>C. Le non-respect de la technique aseptique et des directives de rinçage peut conduire à : une infection sanguine liée au cathéter et à des blessures ou décès associés, une défaillance du cathéter, des complications liées au cathéter telles qu'occlusion, infiltration, extravasation, érythème, gonflement ou douleur.</w:t>
      </w:r>
    </w:p>
    <w:p w14:paraId="177A7074"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Stérilisation</w:t>
      </w:r>
    </w:p>
    <w:p w14:paraId="4F38C252" w14:textId="77777777" w:rsidR="00F55804" w:rsidRPr="00CA0E30" w:rsidRDefault="00F55804" w:rsidP="00F55804">
      <w:pPr>
        <w:pStyle w:val="a5"/>
        <w:ind w:leftChars="0" w:left="0"/>
        <w:rPr>
          <w:rFonts w:ascii="Times New Roman" w:eastAsia="宋体" w:hAnsi="Times New Roman" w:cs="Times New Roman"/>
          <w:color w:val="000000" w:themeColor="text1"/>
          <w:sz w:val="24"/>
          <w:szCs w:val="24"/>
        </w:rPr>
      </w:pPr>
      <w:r w:rsidRPr="00CA0E30">
        <w:rPr>
          <w:rFonts w:ascii="Times New Roman" w:hAnsi="Times New Roman" w:cs="Times New Roman"/>
          <w:color w:val="000000" w:themeColor="text1"/>
          <w:sz w:val="24"/>
        </w:rPr>
        <w:t xml:space="preserve">Ce dispositif est stérilisé par chaleur humide. </w:t>
      </w:r>
    </w:p>
    <w:p w14:paraId="4F8395C3"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Stockage</w:t>
      </w:r>
    </w:p>
    <w:p w14:paraId="061528BE" w14:textId="77777777" w:rsidR="00F55804" w:rsidRPr="00CA0E30" w:rsidRDefault="00F55804" w:rsidP="00F55804">
      <w:pPr>
        <w:pStyle w:val="a5"/>
        <w:numPr>
          <w:ilvl w:val="0"/>
          <w:numId w:val="12"/>
        </w:numPr>
        <w:spacing w:afterLines="100" w:after="240"/>
        <w:ind w:leftChars="0"/>
        <w:rPr>
          <w:rFonts w:ascii="Times New Roman" w:eastAsiaTheme="minorEastAsia" w:hAnsi="Times New Roman" w:cs="Times New Roman"/>
          <w:color w:val="000000" w:themeColor="text1"/>
          <w:sz w:val="24"/>
          <w:lang w:eastAsia="zh-CN"/>
        </w:rPr>
      </w:pPr>
      <w:r w:rsidRPr="00CA0E30">
        <w:rPr>
          <w:rFonts w:ascii="Times New Roman" w:hAnsi="Times New Roman" w:cs="Times New Roman"/>
          <w:color w:val="000000" w:themeColor="text1"/>
          <w:sz w:val="24"/>
        </w:rPr>
        <w:t>Température de stockage : 20-25</w:t>
      </w:r>
      <w:r w:rsidRPr="00CA0E30">
        <w:rPr>
          <w:rFonts w:ascii="Times New Roman" w:eastAsiaTheme="minorEastAsia" w:hAnsi="Times New Roman" w:cs="Times New Roman"/>
          <w:color w:val="000000" w:themeColor="text1"/>
          <w:sz w:val="24"/>
          <w:lang w:eastAsia="zh-CN"/>
        </w:rPr>
        <w:t xml:space="preserve"> </w:t>
      </w:r>
      <w:r w:rsidRPr="00CA0E30">
        <w:rPr>
          <w:rFonts w:ascii="Times New Roman" w:hAnsi="Times New Roman" w:cs="Times New Roman"/>
          <w:color w:val="000000" w:themeColor="text1"/>
          <w:sz w:val="24"/>
        </w:rPr>
        <w:t>℃ (68-77</w:t>
      </w:r>
      <w:r w:rsidRPr="00CA0E30">
        <w:rPr>
          <w:rFonts w:ascii="Times New Roman" w:eastAsia="宋体" w:hAnsi="Times New Roman" w:cs="Times New Roman"/>
          <w:color w:val="000000" w:themeColor="text1"/>
          <w:sz w:val="24"/>
          <w:lang w:eastAsia="zh-CN"/>
        </w:rPr>
        <w:t>℉</w:t>
      </w:r>
      <w:r w:rsidRPr="00CA0E30">
        <w:rPr>
          <w:rFonts w:ascii="Times New Roman" w:hAnsi="Times New Roman" w:cs="Times New Roman"/>
          <w:color w:val="000000" w:themeColor="text1"/>
          <w:sz w:val="24"/>
        </w:rPr>
        <w:t xml:space="preserve">). </w:t>
      </w:r>
    </w:p>
    <w:p w14:paraId="74C8BEC3" w14:textId="77777777" w:rsidR="00F55804" w:rsidRPr="00CA0E30" w:rsidRDefault="00F55804" w:rsidP="00F55804">
      <w:pPr>
        <w:pStyle w:val="a5"/>
        <w:numPr>
          <w:ilvl w:val="0"/>
          <w:numId w:val="12"/>
        </w:numPr>
        <w:spacing w:afterLines="100" w:after="240"/>
        <w:ind w:leftChars="0"/>
        <w:rPr>
          <w:rFonts w:ascii="Times New Roman" w:eastAsia="宋体" w:hAnsi="Times New Roman" w:cs="Times New Roman"/>
          <w:color w:val="000000" w:themeColor="text1"/>
          <w:sz w:val="24"/>
          <w:szCs w:val="24"/>
        </w:rPr>
      </w:pPr>
      <w:r w:rsidRPr="00CA0E30">
        <w:rPr>
          <w:rFonts w:ascii="Times New Roman" w:hAnsi="Times New Roman" w:cs="Times New Roman"/>
          <w:color w:val="000000" w:themeColor="text1"/>
          <w:sz w:val="24"/>
        </w:rPr>
        <w:t>Ne pas congeler.</w:t>
      </w:r>
    </w:p>
    <w:p w14:paraId="544B3274"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Avertissement</w:t>
      </w:r>
    </w:p>
    <w:p w14:paraId="63DB7078" w14:textId="77777777" w:rsidR="00F55804" w:rsidRPr="00CA0E30" w:rsidRDefault="00F55804" w:rsidP="00F55804">
      <w:pPr>
        <w:pStyle w:val="a5"/>
        <w:numPr>
          <w:ilvl w:val="0"/>
          <w:numId w:val="2"/>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Ne pas placer la seringue sur un champ stérile.</w:t>
      </w:r>
    </w:p>
    <w:p w14:paraId="74768DBF" w14:textId="77777777" w:rsidR="00F55804" w:rsidRPr="00CA0E30" w:rsidRDefault="00F55804" w:rsidP="00F55804">
      <w:pPr>
        <w:pStyle w:val="a5"/>
        <w:numPr>
          <w:ilvl w:val="0"/>
          <w:numId w:val="2"/>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Ne pas utiliser si la date de péremption est dépassée.</w:t>
      </w:r>
    </w:p>
    <w:p w14:paraId="0328D6A5" w14:textId="77777777" w:rsidR="00F55804" w:rsidRPr="00CA0E30" w:rsidRDefault="00F55804" w:rsidP="00F55804">
      <w:pPr>
        <w:pStyle w:val="a5"/>
        <w:numPr>
          <w:ilvl w:val="0"/>
          <w:numId w:val="2"/>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Ne pas utiliser si l'emballage n'est pas intact.</w:t>
      </w:r>
    </w:p>
    <w:p w14:paraId="50BF2DF7" w14:textId="77777777" w:rsidR="00F55804" w:rsidRPr="00CA0E30" w:rsidRDefault="00F55804" w:rsidP="00F55804">
      <w:pPr>
        <w:pStyle w:val="a5"/>
        <w:numPr>
          <w:ilvl w:val="0"/>
          <w:numId w:val="2"/>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Ne pas utiliser en cas de fuite.</w:t>
      </w:r>
    </w:p>
    <w:p w14:paraId="51533526" w14:textId="77777777" w:rsidR="00F55804" w:rsidRPr="00CA0E30" w:rsidRDefault="00F55804" w:rsidP="00F55804">
      <w:pPr>
        <w:pStyle w:val="a5"/>
        <w:numPr>
          <w:ilvl w:val="0"/>
          <w:numId w:val="2"/>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Ne pas utiliser si le capuchon d'embout est détaché de l'embout de la seringue.</w:t>
      </w:r>
    </w:p>
    <w:p w14:paraId="002ACA2D" w14:textId="77777777" w:rsidR="00F55804" w:rsidRPr="00CA0E30" w:rsidRDefault="00F55804" w:rsidP="00F55804">
      <w:pPr>
        <w:pStyle w:val="a5"/>
        <w:numPr>
          <w:ilvl w:val="0"/>
          <w:numId w:val="2"/>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Ne pas utiliser si la solution présente une couleur, des substances troubles ou opaques, des précipités ou tout autre corps étranger lors de l'inspection visuelle.</w:t>
      </w:r>
    </w:p>
    <w:p w14:paraId="049ACBE3" w14:textId="77777777" w:rsidR="00F55804" w:rsidRPr="00CA0E30" w:rsidRDefault="00F55804" w:rsidP="00F55804">
      <w:pPr>
        <w:pStyle w:val="a5"/>
        <w:numPr>
          <w:ilvl w:val="0"/>
          <w:numId w:val="2"/>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Ne pas restériliser.</w:t>
      </w:r>
    </w:p>
    <w:p w14:paraId="418C6509"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Attention</w:t>
      </w:r>
    </w:p>
    <w:p w14:paraId="420CDA81" w14:textId="77777777" w:rsidR="00F55804" w:rsidRPr="00CA0E30" w:rsidRDefault="00F55804" w:rsidP="00F55804">
      <w:pPr>
        <w:pStyle w:val="a5"/>
        <w:numPr>
          <w:ilvl w:val="0"/>
          <w:numId w:val="3"/>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Uniquement pour rinçage intraveineux (I.V.)</w:t>
      </w:r>
    </w:p>
    <w:p w14:paraId="02275E75" w14:textId="77777777" w:rsidR="00F55804" w:rsidRPr="00CA0E30" w:rsidRDefault="00F55804" w:rsidP="00F55804">
      <w:pPr>
        <w:pStyle w:val="a5"/>
        <w:numPr>
          <w:ilvl w:val="0"/>
          <w:numId w:val="3"/>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Seule la voie d'écoulement de la seringue est stérile</w:t>
      </w:r>
    </w:p>
    <w:p w14:paraId="3B5F6EF1" w14:textId="77777777" w:rsidR="00F55804" w:rsidRPr="00CA0E30" w:rsidRDefault="00F55804" w:rsidP="00F55804">
      <w:pPr>
        <w:pStyle w:val="a5"/>
        <w:numPr>
          <w:ilvl w:val="0"/>
          <w:numId w:val="3"/>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 xml:space="preserve">Ce dispositif est utilisé sur prescription d'un médecin ou d'un praticien agréé. </w:t>
      </w:r>
    </w:p>
    <w:p w14:paraId="572FF57C" w14:textId="77777777" w:rsidR="00F55804" w:rsidRPr="00CA0E30" w:rsidRDefault="00F55804" w:rsidP="00F55804">
      <w:pPr>
        <w:pStyle w:val="a5"/>
        <w:numPr>
          <w:ilvl w:val="0"/>
          <w:numId w:val="3"/>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Non destiné à l'injection.</w:t>
      </w:r>
    </w:p>
    <w:p w14:paraId="65E97009" w14:textId="77777777" w:rsidR="00F55804" w:rsidRPr="00CA0E30" w:rsidRDefault="00F55804" w:rsidP="00F55804">
      <w:pPr>
        <w:pStyle w:val="a5"/>
        <w:numPr>
          <w:ilvl w:val="0"/>
          <w:numId w:val="3"/>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Usage unique par patient</w:t>
      </w:r>
    </w:p>
    <w:p w14:paraId="477BE8E1" w14:textId="77777777" w:rsidR="00F55804" w:rsidRPr="00CA0E30" w:rsidRDefault="00F55804" w:rsidP="00F55804">
      <w:pPr>
        <w:pStyle w:val="a5"/>
        <w:numPr>
          <w:ilvl w:val="0"/>
          <w:numId w:val="3"/>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Utiliser conformément aux politiques institutionnelles et aux lois spécifiques de l'État.</w:t>
      </w:r>
    </w:p>
    <w:p w14:paraId="77A1D0E2" w14:textId="77777777" w:rsidR="00F55804" w:rsidRPr="00CA0E30" w:rsidRDefault="00F55804" w:rsidP="00F55804">
      <w:pPr>
        <w:pStyle w:val="a5"/>
        <w:numPr>
          <w:ilvl w:val="0"/>
          <w:numId w:val="3"/>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La réutilisation peut causer infections ou maladies/blessures.</w:t>
      </w:r>
    </w:p>
    <w:p w14:paraId="15D76371" w14:textId="77777777" w:rsidR="00F55804" w:rsidRPr="00CA0E30" w:rsidRDefault="00F55804" w:rsidP="00F55804">
      <w:pPr>
        <w:pStyle w:val="a5"/>
        <w:numPr>
          <w:ilvl w:val="0"/>
          <w:numId w:val="3"/>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En 2024, les Normes de pratique en matière de thérapie par perfusion publiées par la Société des infirmières en perfusion (Infusion Nurses Society) stipulent : Utiliser un volume minimal égal au double du volume interne du système de cathéter (ex. : cathéter + accessoires). Des volumes plus importants (par exemple 5 ml pour PIVC, 10 ml pour CVAD) peuvent permettre d'éliminer davantage de dépôts de fibrine, de précipités médicamenteux et d'autres débris de la lumière. Les facteurs à prendre en compte lors du choix du volume de rinçage comprennent le type et la taille du cathéter, l'âge et le poids du patient, ainsi que le type de thérapie par perfusion administrée. L'utilisation clinique réelle doit être déterminée par les professionnels de santé en fonction des besoins cliniques.</w:t>
      </w:r>
    </w:p>
    <w:p w14:paraId="030EAAEA"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lastRenderedPageBreak/>
        <w:t>Préparation</w:t>
      </w:r>
    </w:p>
    <w:p w14:paraId="64BF83B6" w14:textId="77777777" w:rsidR="00F55804" w:rsidRPr="00CA0E30" w:rsidRDefault="00F55804" w:rsidP="00F55804">
      <w:pPr>
        <w:pStyle w:val="a5"/>
        <w:numPr>
          <w:ilvl w:val="255"/>
          <w:numId w:val="0"/>
        </w:numPr>
        <w:adjustRightInd w:val="0"/>
        <w:snapToGrid w:val="0"/>
        <w:spacing w:beforeLines="100" w:before="240" w:afterLines="100" w:after="240"/>
        <w:jc w:val="center"/>
        <w:rPr>
          <w:rFonts w:ascii="Times New Roman" w:hAnsi="Times New Roman" w:cs="Times New Roman"/>
          <w:b/>
          <w:bCs/>
          <w:color w:val="000000" w:themeColor="text1"/>
          <w:sz w:val="24"/>
          <w:szCs w:val="24"/>
          <w:lang w:eastAsia="zh-CN"/>
        </w:rPr>
      </w:pPr>
      <w:r w:rsidRPr="00CA0E30">
        <w:rPr>
          <w:rFonts w:ascii="Times New Roman" w:hAnsi="Times New Roman" w:cs="Times New Roman"/>
          <w:noProof/>
          <w:color w:val="000000" w:themeColor="text1"/>
        </w:rPr>
        <w:drawing>
          <wp:inline distT="0" distB="0" distL="0" distR="0" wp14:anchorId="796033A1" wp14:editId="7AA9B03B">
            <wp:extent cx="2633345" cy="2061845"/>
            <wp:effectExtent l="0" t="0" r="0" b="0"/>
            <wp:docPr id="2" name="IM 2" descr="图示, 工程绘图&#10;&#10;描述已自动生成"/>
            <wp:cNvGraphicFramePr/>
            <a:graphic xmlns:a="http://schemas.openxmlformats.org/drawingml/2006/main">
              <a:graphicData uri="http://schemas.openxmlformats.org/drawingml/2006/picture">
                <pic:pic xmlns:pic="http://schemas.openxmlformats.org/drawingml/2006/picture">
                  <pic:nvPicPr>
                    <pic:cNvPr id="2" name="IM 2" descr="图示, 工程绘图&#10;&#10;描述已自动生成"/>
                    <pic:cNvPicPr/>
                  </pic:nvPicPr>
                  <pic:blipFill>
                    <a:blip r:embed="rId8">
                      <a:extLst>
                        <a:ext uri="{28A0092B-C50C-407E-A947-70E740481C1C}">
                          <a14:useLocalDpi xmlns:a14="http://schemas.microsoft.com/office/drawing/2010/main" val="0"/>
                        </a:ext>
                      </a:extLst>
                    </a:blip>
                    <a:stretch>
                      <a:fillRect/>
                    </a:stretch>
                  </pic:blipFill>
                  <pic:spPr>
                    <a:xfrm>
                      <a:off x="0" y="0"/>
                      <a:ext cx="2633345" cy="2061845"/>
                    </a:xfrm>
                    <a:prstGeom prst="rect">
                      <a:avLst/>
                    </a:prstGeom>
                  </pic:spPr>
                </pic:pic>
              </a:graphicData>
            </a:graphic>
          </wp:inline>
        </w:drawing>
      </w:r>
    </w:p>
    <w:p w14:paraId="222CB982" w14:textId="77777777" w:rsidR="00F55804" w:rsidRPr="00CA0E30" w:rsidRDefault="00F55804" w:rsidP="00F55804">
      <w:pPr>
        <w:pStyle w:val="a5"/>
        <w:numPr>
          <w:ilvl w:val="0"/>
          <w:numId w:val="4"/>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szCs w:val="24"/>
        </w:rPr>
        <w:t>Ouvrir l'emballage en utilisant une technique aseptique. (Figure 1)</w:t>
      </w:r>
    </w:p>
    <w:p w14:paraId="28D57949" w14:textId="77777777" w:rsidR="00F55804" w:rsidRPr="00CA0E30" w:rsidRDefault="00F55804" w:rsidP="00F55804">
      <w:pPr>
        <w:pStyle w:val="a5"/>
        <w:numPr>
          <w:ilvl w:val="0"/>
          <w:numId w:val="4"/>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Avec le capuchon d'embout, appuyer sur le piston pour réduire la résistance. (Figure 2)</w:t>
      </w:r>
    </w:p>
    <w:p w14:paraId="209A9CD2" w14:textId="77777777" w:rsidR="00F55804" w:rsidRPr="00CA0E30" w:rsidRDefault="00F55804" w:rsidP="00F55804">
      <w:pPr>
        <w:pStyle w:val="a5"/>
        <w:numPr>
          <w:ilvl w:val="0"/>
          <w:numId w:val="4"/>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Dévisser le capuchon d'embout de la seringue. (Figure 3)</w:t>
      </w:r>
    </w:p>
    <w:p w14:paraId="667ED9B6" w14:textId="77777777" w:rsidR="00F55804" w:rsidRPr="00CA0E30" w:rsidRDefault="00F55804" w:rsidP="00F55804">
      <w:pPr>
        <w:pStyle w:val="a5"/>
        <w:numPr>
          <w:ilvl w:val="0"/>
          <w:numId w:val="4"/>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Maintenir la seringue verticale et chasser l'air. (Figure 4)</w:t>
      </w:r>
    </w:p>
    <w:p w14:paraId="2B730884" w14:textId="77777777" w:rsidR="00F55804" w:rsidRPr="00CA0E30" w:rsidRDefault="00F55804" w:rsidP="00F55804">
      <w:pPr>
        <w:pStyle w:val="a5"/>
        <w:numPr>
          <w:ilvl w:val="0"/>
          <w:numId w:val="4"/>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Connecter la seringue au dispositif d'accès intraveineux, y compris la valve, le port ou le système sans aiguille, et rincer conformément aux protocoles institutionnels.</w:t>
      </w:r>
    </w:p>
    <w:p w14:paraId="771A6AEB" w14:textId="77777777" w:rsidR="00F55804" w:rsidRPr="00CA0E30" w:rsidRDefault="00F55804" w:rsidP="00F55804">
      <w:pPr>
        <w:pStyle w:val="a5"/>
        <w:numPr>
          <w:ilvl w:val="0"/>
          <w:numId w:val="4"/>
        </w:numPr>
        <w:snapToGrid w:val="0"/>
        <w:ind w:leftChars="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Éliminer la seringue utilisée et toute partie non utilisée de la solution après utilisation. Ne pas réutiliser.</w:t>
      </w:r>
    </w:p>
    <w:p w14:paraId="4B84B7B3" w14:textId="77777777" w:rsidR="00F55804" w:rsidRPr="00CA0E30" w:rsidRDefault="00F55804" w:rsidP="00F55804">
      <w:pPr>
        <w:pStyle w:val="a5"/>
        <w:numPr>
          <w:ilvl w:val="0"/>
          <w:numId w:val="4"/>
        </w:numPr>
        <w:snapToGrid w:val="0"/>
        <w:ind w:leftChars="0"/>
        <w:rPr>
          <w:rFonts w:ascii="Times New Roman" w:hAnsi="Times New Roman" w:cs="Times New Roman"/>
          <w:color w:val="000000" w:themeColor="text1"/>
          <w:sz w:val="24"/>
          <w:szCs w:val="24"/>
          <w:lang w:eastAsia="zh-CN"/>
        </w:rPr>
      </w:pPr>
      <w:r w:rsidRPr="00CA0E30">
        <w:rPr>
          <w:rFonts w:ascii="Times New Roman" w:eastAsia="宋体" w:hAnsi="Times New Roman" w:cs="Times New Roman"/>
          <w:color w:val="000000" w:themeColor="text1"/>
          <w:sz w:val="24"/>
          <w:szCs w:val="24"/>
          <w:lang w:eastAsia="zh-CN"/>
        </w:rPr>
        <w:t>Ce produit est uniquement conçu pour être utilisé avec des produits conformes à la conception de connexion Luer ISO 80369-7.</w:t>
      </w:r>
    </w:p>
    <w:p w14:paraId="3D883175" w14:textId="77777777" w:rsidR="00F55804" w:rsidRPr="00CA0E30" w:rsidRDefault="00F55804" w:rsidP="00F55804">
      <w:pPr>
        <w:pStyle w:val="a5"/>
        <w:snapToGrid w:val="0"/>
        <w:ind w:leftChars="0" w:left="425"/>
        <w:rPr>
          <w:rFonts w:ascii="Times New Roman" w:hAnsi="Times New Roman" w:cs="Times New Roman"/>
          <w:color w:val="000000" w:themeColor="text1"/>
          <w:sz w:val="24"/>
          <w:szCs w:val="24"/>
        </w:rPr>
      </w:pPr>
    </w:p>
    <w:p w14:paraId="2CDE30C5"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Durée de conservation</w:t>
      </w:r>
    </w:p>
    <w:p w14:paraId="6301B22E" w14:textId="77777777" w:rsidR="00F55804" w:rsidRPr="00CA0E30" w:rsidRDefault="00F55804" w:rsidP="00F55804">
      <w:pPr>
        <w:pStyle w:val="a5"/>
        <w:adjustRightInd w:val="0"/>
        <w:snapToGrid w:val="0"/>
        <w:spacing w:beforeLines="100" w:before="240" w:afterLines="100" w:after="240"/>
        <w:ind w:leftChars="0" w:left="0"/>
        <w:rPr>
          <w:rFonts w:ascii="Times New Roman" w:eastAsiaTheme="minorEastAsia" w:hAnsi="Times New Roman" w:cs="Times New Roman"/>
          <w:color w:val="000000" w:themeColor="text1"/>
          <w:sz w:val="24"/>
          <w:szCs w:val="24"/>
          <w:lang w:eastAsia="zh-CN"/>
        </w:rPr>
      </w:pPr>
      <w:r w:rsidRPr="00CA0E30">
        <w:rPr>
          <w:rFonts w:ascii="Times New Roman" w:hAnsi="Times New Roman" w:cs="Times New Roman"/>
          <w:color w:val="000000" w:themeColor="text1"/>
          <w:sz w:val="24"/>
          <w:szCs w:val="24"/>
        </w:rPr>
        <w:t>Deux ans à compter de la date de fabrication</w:t>
      </w:r>
      <w:r w:rsidRPr="00CA0E30">
        <w:rPr>
          <w:rFonts w:ascii="Times New Roman" w:eastAsiaTheme="minorEastAsia" w:hAnsi="Times New Roman" w:cs="Times New Roman"/>
          <w:color w:val="000000" w:themeColor="text1"/>
          <w:sz w:val="24"/>
          <w:szCs w:val="24"/>
          <w:lang w:eastAsia="zh-CN"/>
        </w:rPr>
        <w:t>.</w:t>
      </w:r>
    </w:p>
    <w:p w14:paraId="531D8CE4"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Avantages cliniques</w:t>
      </w:r>
    </w:p>
    <w:p w14:paraId="2FB2DC2C" w14:textId="77777777" w:rsidR="00F55804" w:rsidRPr="00CA0E30" w:rsidRDefault="00F55804" w:rsidP="00F55804">
      <w:pPr>
        <w:jc w:val="both"/>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szCs w:val="24"/>
        </w:rPr>
        <w:t>HP Flush™ Solution injectable de chlorure de sodium 0,9% (seringue de rinçage) est une seringue préremplie à usage unique contenant une solution physiologique à 0,9%. Elle permet de réduire les étapes et le temps nécessaires à la préparation manuelle des seringues de rinçage salines, contribuant ainsi à améliorer l'efficacité du travail des cliniciens.</w:t>
      </w:r>
      <w:r w:rsidRPr="00CA0E30">
        <w:rPr>
          <w:rFonts w:ascii="Times New Roman" w:hAnsi="Times New Roman" w:cs="Times New Roman" w:hint="eastAsia"/>
          <w:color w:val="000000" w:themeColor="text1"/>
          <w:sz w:val="24"/>
          <w:szCs w:val="24"/>
          <w:lang w:eastAsia="zh-CN"/>
        </w:rPr>
        <w:t xml:space="preserve"> </w:t>
      </w:r>
      <w:r w:rsidRPr="00CA0E30">
        <w:rPr>
          <w:rFonts w:ascii="Times New Roman" w:hAnsi="Times New Roman" w:cs="Times New Roman"/>
          <w:color w:val="000000" w:themeColor="text1"/>
          <w:sz w:val="24"/>
          <w:szCs w:val="24"/>
        </w:rPr>
        <w:t>De plus, elle diminue les risques de contamination par manipulation lors de la préparation manuelle des seringues de rinçage physiologiques.</w:t>
      </w:r>
    </w:p>
    <w:p w14:paraId="7BB5598D"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Rapport</w:t>
      </w:r>
    </w:p>
    <w:p w14:paraId="773960B1" w14:textId="77777777" w:rsidR="00F55804" w:rsidRPr="00CA0E30" w:rsidRDefault="00F55804" w:rsidP="00F55804">
      <w:pPr>
        <w:pStyle w:val="a5"/>
        <w:snapToGrid w:val="0"/>
        <w:spacing w:afterLines="100" w:after="240"/>
        <w:ind w:leftChars="0" w:left="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Si un incident grave lié à l'appareil survient, l'utilisateur et/ou le patient doit le signaler au fabricant ainsi qu'à l'autorité compétente de l'État membre dans lequel il est établi.</w:t>
      </w:r>
    </w:p>
    <w:p w14:paraId="6F3F6AD9"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 xml:space="preserve">Élimination des déchets médicaux </w:t>
      </w:r>
    </w:p>
    <w:p w14:paraId="6EF2ED1B" w14:textId="77777777" w:rsidR="00F55804" w:rsidRPr="00CA0E30" w:rsidRDefault="00F55804" w:rsidP="00F55804">
      <w:pPr>
        <w:pStyle w:val="a5"/>
        <w:snapToGrid w:val="0"/>
        <w:spacing w:afterLines="100" w:after="240"/>
        <w:ind w:leftChars="0" w:left="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Éliminer les déchets médicaux conformément aux réglementations locales applicables des États membres de l'UE.</w:t>
      </w:r>
    </w:p>
    <w:p w14:paraId="787F22C3"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t xml:space="preserve">Date de publication de la notice d'utilisation </w:t>
      </w:r>
    </w:p>
    <w:p w14:paraId="406579B7" w14:textId="77777777" w:rsidR="00F55804" w:rsidRPr="00CA0E30" w:rsidRDefault="00F55804" w:rsidP="00F55804">
      <w:pPr>
        <w:pStyle w:val="a5"/>
        <w:snapToGrid w:val="0"/>
        <w:spacing w:afterLines="100" w:after="240"/>
        <w:ind w:leftChars="0" w:left="0"/>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rPr>
        <w:t xml:space="preserve">La date de publication de la notice d'utilisation est le </w:t>
      </w:r>
      <w:r w:rsidRPr="00CA0E30">
        <w:rPr>
          <w:rFonts w:ascii="Times New Roman" w:eastAsia="宋体" w:hAnsi="Times New Roman" w:cs="Times New Roman"/>
          <w:color w:val="000000" w:themeColor="text1"/>
          <w:sz w:val="24"/>
          <w:szCs w:val="24"/>
          <w:lang w:eastAsia="zh-CN"/>
        </w:rPr>
        <w:t>24/08/</w:t>
      </w:r>
      <w:r w:rsidRPr="00CA0E30">
        <w:rPr>
          <w:rFonts w:ascii="Times New Roman" w:hAnsi="Times New Roman" w:cs="Times New Roman"/>
          <w:color w:val="000000" w:themeColor="text1"/>
          <w:sz w:val="24"/>
          <w:szCs w:val="24"/>
        </w:rPr>
        <w:t>202</w:t>
      </w:r>
      <w:r w:rsidRPr="00CA0E30">
        <w:rPr>
          <w:rFonts w:ascii="Times New Roman" w:eastAsia="宋体" w:hAnsi="Times New Roman" w:cs="Times New Roman"/>
          <w:color w:val="000000" w:themeColor="text1"/>
          <w:sz w:val="24"/>
          <w:szCs w:val="24"/>
          <w:lang w:eastAsia="zh-CN"/>
        </w:rPr>
        <w:t>5</w:t>
      </w:r>
      <w:r w:rsidRPr="00CA0E30">
        <w:rPr>
          <w:rFonts w:ascii="Times New Roman" w:hAnsi="Times New Roman" w:cs="Times New Roman"/>
          <w:color w:val="000000" w:themeColor="text1"/>
          <w:sz w:val="24"/>
        </w:rPr>
        <w:t>. Les informations de révision les plus récentes sont disponibles dans le dossier technique du dispositif.</w:t>
      </w:r>
    </w:p>
    <w:p w14:paraId="0FFB4A75" w14:textId="77777777" w:rsidR="00F55804" w:rsidRPr="00CA0E30" w:rsidRDefault="00F55804" w:rsidP="00F55804">
      <w:pPr>
        <w:pStyle w:val="a5"/>
        <w:numPr>
          <w:ilvl w:val="0"/>
          <w:numId w:val="1"/>
        </w:numPr>
        <w:adjustRightInd w:val="0"/>
        <w:snapToGrid w:val="0"/>
        <w:spacing w:beforeLines="100" w:before="240" w:afterLines="100" w:after="240"/>
        <w:ind w:leftChars="0"/>
        <w:rPr>
          <w:rFonts w:ascii="Times New Roman" w:hAnsi="Times New Roman" w:cs="Times New Roman"/>
          <w:b/>
          <w:bCs/>
          <w:color w:val="000000" w:themeColor="text1"/>
          <w:sz w:val="24"/>
          <w:szCs w:val="24"/>
        </w:rPr>
      </w:pPr>
      <w:r w:rsidRPr="00CA0E30">
        <w:rPr>
          <w:rFonts w:ascii="Times New Roman" w:hAnsi="Times New Roman" w:cs="Times New Roman"/>
          <w:b/>
          <w:color w:val="000000" w:themeColor="text1"/>
          <w:sz w:val="24"/>
        </w:rPr>
        <w:lastRenderedPageBreak/>
        <w:t>Signification des symboles</w:t>
      </w:r>
    </w:p>
    <w:p w14:paraId="36643057" w14:textId="77777777" w:rsidR="00F55804" w:rsidRPr="00CA0E30" w:rsidRDefault="00F55804" w:rsidP="00F55804">
      <w:pPr>
        <w:pStyle w:val="a5"/>
        <w:spacing w:afterLines="50" w:after="120"/>
        <w:ind w:leftChars="0" w:left="0"/>
        <w:rPr>
          <w:rFonts w:ascii="Times New Roman" w:eastAsiaTheme="minorEastAsia" w:hAnsi="Times New Roman" w:cs="Times New Roman"/>
          <w:color w:val="000000" w:themeColor="text1"/>
          <w:sz w:val="24"/>
          <w:lang w:eastAsia="zh-CN"/>
        </w:rPr>
      </w:pPr>
      <w:r w:rsidRPr="00CA0E30">
        <w:rPr>
          <w:rFonts w:ascii="Times New Roman" w:hAnsi="Times New Roman" w:cs="Times New Roman"/>
          <w:color w:val="000000" w:themeColor="text1"/>
          <w:sz w:val="24"/>
        </w:rPr>
        <w:t>Les symboles suivants sont extraits de la norme ISO 15223. Significations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5"/>
      </w:tblGrid>
      <w:tr w:rsidR="00CA0E30" w:rsidRPr="00CA0E30" w14:paraId="3F77AB2E" w14:textId="77777777" w:rsidTr="00A02D4A">
        <w:trPr>
          <w:trHeight w:val="397"/>
        </w:trPr>
        <w:tc>
          <w:tcPr>
            <w:tcW w:w="1421" w:type="pct"/>
            <w:tcBorders>
              <w:top w:val="single" w:sz="4" w:space="0" w:color="auto"/>
              <w:left w:val="single" w:sz="4" w:space="0" w:color="auto"/>
              <w:bottom w:val="single" w:sz="4" w:space="0" w:color="auto"/>
              <w:right w:val="single" w:sz="4" w:space="0" w:color="auto"/>
            </w:tcBorders>
            <w:shd w:val="clear" w:color="auto" w:fill="7F7F7F" w:themeFill="background1" w:themeFillShade="7F"/>
            <w:vAlign w:val="center"/>
          </w:tcPr>
          <w:p w14:paraId="3C9F382C" w14:textId="77777777" w:rsidR="00F55804" w:rsidRPr="00CA0E30" w:rsidRDefault="00F55804" w:rsidP="00A02D4A">
            <w:pPr>
              <w:adjustRightInd w:val="0"/>
              <w:snapToGrid w:val="0"/>
              <w:jc w:val="center"/>
              <w:rPr>
                <w:rFonts w:ascii="Times New Roman" w:eastAsia="宋体" w:hAnsi="Times New Roman" w:cs="Times New Roman"/>
                <w:b/>
                <w:color w:val="000000" w:themeColor="text1"/>
                <w:sz w:val="24"/>
                <w:szCs w:val="24"/>
              </w:rPr>
            </w:pPr>
            <w:r w:rsidRPr="00CA0E30">
              <w:rPr>
                <w:rFonts w:ascii="Times New Roman" w:hAnsi="Times New Roman" w:cs="Times New Roman"/>
                <w:b/>
                <w:color w:val="000000" w:themeColor="text1"/>
                <w:sz w:val="24"/>
                <w:szCs w:val="24"/>
              </w:rPr>
              <w:t>Graphique</w:t>
            </w:r>
          </w:p>
        </w:tc>
        <w:tc>
          <w:tcPr>
            <w:tcW w:w="3579" w:type="pct"/>
            <w:tcBorders>
              <w:top w:val="single" w:sz="4" w:space="0" w:color="auto"/>
              <w:left w:val="nil"/>
              <w:bottom w:val="single" w:sz="4" w:space="0" w:color="auto"/>
              <w:right w:val="single" w:sz="4" w:space="0" w:color="auto"/>
            </w:tcBorders>
            <w:shd w:val="clear" w:color="auto" w:fill="7F7F7F" w:themeFill="background1" w:themeFillShade="7F"/>
            <w:vAlign w:val="center"/>
          </w:tcPr>
          <w:p w14:paraId="433ABD29" w14:textId="77777777" w:rsidR="00F55804" w:rsidRPr="00CA0E30" w:rsidRDefault="00F55804" w:rsidP="00A02D4A">
            <w:pPr>
              <w:snapToGrid w:val="0"/>
              <w:jc w:val="center"/>
              <w:rPr>
                <w:rFonts w:ascii="Times New Roman" w:eastAsia="宋体" w:hAnsi="Times New Roman" w:cs="Times New Roman"/>
                <w:color w:val="000000" w:themeColor="text1"/>
                <w:spacing w:val="-1"/>
                <w:sz w:val="24"/>
                <w:szCs w:val="24"/>
              </w:rPr>
            </w:pPr>
            <w:r w:rsidRPr="00CA0E30">
              <w:rPr>
                <w:rFonts w:ascii="Times New Roman" w:hAnsi="Times New Roman" w:cs="Times New Roman"/>
                <w:b/>
                <w:color w:val="000000" w:themeColor="text1"/>
                <w:sz w:val="24"/>
                <w:szCs w:val="24"/>
              </w:rPr>
              <w:t>Titre</w:t>
            </w:r>
          </w:p>
        </w:tc>
      </w:tr>
      <w:tr w:rsidR="00CA0E30" w:rsidRPr="00CA0E30" w14:paraId="3638CBAD"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6CEEE304" w14:textId="77777777" w:rsidR="00F55804" w:rsidRPr="00CA0E30" w:rsidRDefault="00F55804" w:rsidP="00A02D4A">
            <w:pPr>
              <w:adjustRightInd w:val="0"/>
              <w:snapToGrid w:val="0"/>
              <w:jc w:val="center"/>
              <w:rPr>
                <w:rFonts w:ascii="Times New Roman" w:hAnsi="Times New Roman" w:cs="Times New Roman"/>
                <w:color w:val="000000" w:themeColor="text1"/>
                <w:kern w:val="2"/>
                <w:sz w:val="24"/>
                <w:szCs w:val="24"/>
              </w:rPr>
            </w:pPr>
            <w:bookmarkStart w:id="5" w:name="_Hlk72685984"/>
            <w:r w:rsidRPr="00CA0E30">
              <w:rPr>
                <w:rFonts w:ascii="Times New Roman" w:hAnsi="Times New Roman" w:cs="Times New Roman"/>
                <w:noProof/>
                <w:color w:val="000000" w:themeColor="text1"/>
                <w:sz w:val="24"/>
                <w:szCs w:val="24"/>
              </w:rPr>
              <w:drawing>
                <wp:inline distT="0" distB="0" distL="114300" distR="114300" wp14:anchorId="5ADAB44E" wp14:editId="1343EB55">
                  <wp:extent cx="433705" cy="405130"/>
                  <wp:effectExtent l="0" t="0" r="4445" b="139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433705" cy="405130"/>
                          </a:xfrm>
                          <a:prstGeom prst="rect">
                            <a:avLst/>
                          </a:prstGeom>
                          <a:noFill/>
                          <a:ln>
                            <a:noFill/>
                          </a:ln>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23881275" w14:textId="77777777" w:rsidR="00F55804" w:rsidRPr="00CA0E30" w:rsidRDefault="00F55804" w:rsidP="00A02D4A">
            <w:pPr>
              <w:adjustRightInd w:val="0"/>
              <w:snapToGrid w:val="0"/>
              <w:jc w:val="both"/>
              <w:rPr>
                <w:rFonts w:ascii="Times New Roman" w:hAnsi="Times New Roman" w:cs="Times New Roman"/>
                <w:color w:val="000000" w:themeColor="text1"/>
                <w:kern w:val="2"/>
                <w:sz w:val="24"/>
                <w:szCs w:val="24"/>
              </w:rPr>
            </w:pPr>
            <w:r w:rsidRPr="00CA0E30">
              <w:rPr>
                <w:rFonts w:ascii="Times New Roman" w:hAnsi="Times New Roman" w:cs="Times New Roman"/>
                <w:color w:val="000000" w:themeColor="text1"/>
                <w:sz w:val="24"/>
                <w:szCs w:val="24"/>
              </w:rPr>
              <w:t>Fabricant</w:t>
            </w:r>
          </w:p>
        </w:tc>
      </w:tr>
      <w:tr w:rsidR="00CA0E30" w:rsidRPr="00CA0E30" w14:paraId="2C7E00EA"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3BEA7607" w14:textId="77777777" w:rsidR="00F55804" w:rsidRPr="00CA0E30" w:rsidRDefault="00F55804" w:rsidP="00A02D4A">
            <w:pPr>
              <w:adjustRightInd w:val="0"/>
              <w:snapToGrid w:val="0"/>
              <w:jc w:val="center"/>
              <w:rPr>
                <w:rFonts w:ascii="Times New Roman" w:hAnsi="Times New Roman" w:cs="Times New Roman"/>
                <w:b/>
                <w:color w:val="000000" w:themeColor="text1"/>
                <w:kern w:val="2"/>
                <w:sz w:val="24"/>
                <w:szCs w:val="24"/>
              </w:rPr>
            </w:pPr>
            <w:r w:rsidRPr="00CA0E30">
              <w:rPr>
                <w:rFonts w:ascii="Times New Roman" w:hAnsi="Times New Roman" w:cs="Times New Roman"/>
                <w:noProof/>
                <w:color w:val="000000" w:themeColor="text1"/>
                <w:sz w:val="24"/>
                <w:szCs w:val="24"/>
              </w:rPr>
              <w:drawing>
                <wp:inline distT="0" distB="0" distL="114300" distR="114300" wp14:anchorId="2FA7CAEF" wp14:editId="53210F5C">
                  <wp:extent cx="529590" cy="332105"/>
                  <wp:effectExtent l="0" t="0" r="3810" b="1079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29590" cy="332105"/>
                          </a:xfrm>
                          <a:prstGeom prst="rect">
                            <a:avLst/>
                          </a:prstGeom>
                          <a:noFill/>
                          <a:ln>
                            <a:noFill/>
                          </a:ln>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2CBEBDA4" w14:textId="77777777" w:rsidR="00F55804" w:rsidRPr="00CA0E30" w:rsidRDefault="00F55804" w:rsidP="00A02D4A">
            <w:pPr>
              <w:adjustRightInd w:val="0"/>
              <w:snapToGrid w:val="0"/>
              <w:jc w:val="both"/>
              <w:rPr>
                <w:rFonts w:ascii="Times New Roman" w:hAnsi="Times New Roman" w:cs="Times New Roman"/>
                <w:b/>
                <w:color w:val="000000" w:themeColor="text1"/>
                <w:kern w:val="2"/>
                <w:sz w:val="24"/>
                <w:szCs w:val="24"/>
              </w:rPr>
            </w:pPr>
            <w:r w:rsidRPr="00CA0E30">
              <w:rPr>
                <w:rFonts w:ascii="Times New Roman" w:hAnsi="Times New Roman" w:cs="Times New Roman"/>
                <w:color w:val="000000" w:themeColor="text1"/>
                <w:sz w:val="24"/>
                <w:szCs w:val="24"/>
              </w:rPr>
              <w:t>Code du lot</w:t>
            </w:r>
          </w:p>
        </w:tc>
      </w:tr>
      <w:tr w:rsidR="00CA0E30" w:rsidRPr="00CA0E30" w14:paraId="01CA59A6"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78F5DDA8" w14:textId="77777777" w:rsidR="00F55804" w:rsidRPr="00CA0E30" w:rsidRDefault="00F55804" w:rsidP="00A02D4A">
            <w:pPr>
              <w:adjustRightInd w:val="0"/>
              <w:snapToGrid w:val="0"/>
              <w:jc w:val="center"/>
              <w:rPr>
                <w:rFonts w:ascii="Times New Roman" w:hAnsi="Times New Roman" w:cs="Times New Roman"/>
                <w:color w:val="000000" w:themeColor="text1"/>
                <w:kern w:val="2"/>
                <w:sz w:val="24"/>
                <w:szCs w:val="24"/>
              </w:rPr>
            </w:pPr>
            <w:r w:rsidRPr="00CA0E30">
              <w:rPr>
                <w:rFonts w:ascii="Times New Roman" w:hAnsi="Times New Roman" w:cs="Times New Roman"/>
                <w:noProof/>
                <w:color w:val="000000" w:themeColor="text1"/>
                <w:sz w:val="24"/>
                <w:szCs w:val="24"/>
              </w:rPr>
              <w:drawing>
                <wp:inline distT="0" distB="0" distL="0" distR="0" wp14:anchorId="365722C6" wp14:editId="47DDE46A">
                  <wp:extent cx="1046480" cy="351155"/>
                  <wp:effectExtent l="0" t="0" r="1270" b="10795"/>
                  <wp:docPr id="3" name="图片 3" descr="D:\Backup\Documents\WeChat Files\wxid_zsyixh9j4f5322\FileStorage\Temp\b7ccab44c0bc35bf1b08bc5d3895c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ackup\Documents\WeChat Files\wxid_zsyixh9j4f5322\FileStorage\Temp\b7ccab44c0bc35bf1b08bc5d3895cb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46480" cy="351155"/>
                          </a:xfrm>
                          <a:prstGeom prst="rect">
                            <a:avLst/>
                          </a:prstGeom>
                          <a:noFill/>
                          <a:ln>
                            <a:noFill/>
                          </a:ln>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0B456F45" w14:textId="77777777" w:rsidR="00F55804" w:rsidRPr="00CA0E30" w:rsidRDefault="00F55804" w:rsidP="00A02D4A">
            <w:pPr>
              <w:adjustRightInd w:val="0"/>
              <w:snapToGrid w:val="0"/>
              <w:jc w:val="both"/>
              <w:rPr>
                <w:rFonts w:ascii="Times New Roman" w:hAnsi="Times New Roman" w:cs="Times New Roman"/>
                <w:color w:val="000000" w:themeColor="text1"/>
                <w:kern w:val="2"/>
                <w:sz w:val="24"/>
                <w:szCs w:val="24"/>
              </w:rPr>
            </w:pPr>
            <w:r w:rsidRPr="00CA0E30">
              <w:rPr>
                <w:rFonts w:ascii="Times New Roman" w:hAnsi="Times New Roman" w:cs="Times New Roman"/>
                <w:color w:val="000000" w:themeColor="text1"/>
                <w:sz w:val="24"/>
                <w:szCs w:val="24"/>
              </w:rPr>
              <w:t>Représentant autorisé dans l'Union européenne</w:t>
            </w:r>
          </w:p>
        </w:tc>
      </w:tr>
      <w:tr w:rsidR="00CA0E30" w:rsidRPr="00CA0E30" w14:paraId="6A4673C6"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4ADDF5E4" w14:textId="77777777" w:rsidR="00F55804" w:rsidRPr="00CA0E30" w:rsidRDefault="00F55804" w:rsidP="00A02D4A">
            <w:pPr>
              <w:adjustRightInd w:val="0"/>
              <w:snapToGrid w:val="0"/>
              <w:jc w:val="center"/>
              <w:rPr>
                <w:rFonts w:ascii="Times New Roman" w:hAnsi="Times New Roman" w:cs="Times New Roman"/>
                <w:color w:val="000000" w:themeColor="text1"/>
                <w:sz w:val="24"/>
                <w:szCs w:val="24"/>
              </w:rPr>
            </w:pPr>
            <w:r w:rsidRPr="00CA0E30">
              <w:rPr>
                <w:rFonts w:ascii="Times New Roman" w:hAnsi="Times New Roman" w:cs="Times New Roman"/>
                <w:noProof/>
                <w:color w:val="000000" w:themeColor="text1"/>
                <w:sz w:val="24"/>
                <w:szCs w:val="24"/>
              </w:rPr>
              <w:drawing>
                <wp:inline distT="0" distB="0" distL="0" distR="0" wp14:anchorId="26909239" wp14:editId="134654C6">
                  <wp:extent cx="619125" cy="417830"/>
                  <wp:effectExtent l="0" t="0" r="9525" b="12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619125" cy="417830"/>
                          </a:xfrm>
                          <a:prstGeom prst="rect">
                            <a:avLst/>
                          </a:prstGeom>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402F1BB3" w14:textId="77777777" w:rsidR="00F55804" w:rsidRPr="00CA0E30" w:rsidRDefault="00F55804" w:rsidP="00A02D4A">
            <w:pPr>
              <w:adjustRightInd w:val="0"/>
              <w:snapToGrid w:val="0"/>
              <w:jc w:val="both"/>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szCs w:val="24"/>
              </w:rPr>
              <w:t>Numéro de catalogue</w:t>
            </w:r>
          </w:p>
        </w:tc>
      </w:tr>
      <w:tr w:rsidR="00CA0E30" w:rsidRPr="00CA0E30" w14:paraId="161B410A"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2BD4534A" w14:textId="77777777" w:rsidR="00F55804" w:rsidRPr="00CA0E30" w:rsidRDefault="00F55804" w:rsidP="00A02D4A">
            <w:pPr>
              <w:snapToGrid w:val="0"/>
              <w:jc w:val="center"/>
              <w:rPr>
                <w:rFonts w:ascii="Times New Roman" w:hAnsi="Times New Roman" w:cs="Times New Roman"/>
                <w:color w:val="000000" w:themeColor="text1"/>
                <w:sz w:val="24"/>
                <w:szCs w:val="24"/>
              </w:rPr>
            </w:pPr>
            <w:r w:rsidRPr="00CA0E30">
              <w:rPr>
                <w:rFonts w:ascii="Times New Roman" w:hAnsi="Times New Roman" w:cs="Times New Roman"/>
                <w:noProof/>
                <w:color w:val="000000" w:themeColor="text1"/>
                <w:sz w:val="24"/>
                <w:szCs w:val="24"/>
              </w:rPr>
              <w:drawing>
                <wp:inline distT="0" distB="0" distL="114300" distR="114300" wp14:anchorId="0C2EEF06" wp14:editId="7F946A67">
                  <wp:extent cx="576580" cy="560070"/>
                  <wp:effectExtent l="0" t="0" r="13970" b="11430"/>
                  <wp:docPr id="30" name="图片 30" descr="172629426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726294260523"/>
                          <pic:cNvPicPr>
                            <a:picLocks noChangeAspect="1"/>
                          </pic:cNvPicPr>
                        </pic:nvPicPr>
                        <pic:blipFill>
                          <a:blip r:embed="rId13"/>
                          <a:stretch>
                            <a:fillRect/>
                          </a:stretch>
                        </pic:blipFill>
                        <pic:spPr>
                          <a:xfrm>
                            <a:off x="0" y="0"/>
                            <a:ext cx="576580" cy="560070"/>
                          </a:xfrm>
                          <a:prstGeom prst="rect">
                            <a:avLst/>
                          </a:prstGeom>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0B8C07FE" w14:textId="77777777" w:rsidR="00F55804" w:rsidRPr="00CA0E30" w:rsidRDefault="00F55804" w:rsidP="00A02D4A">
            <w:pPr>
              <w:snapToGrid w:val="0"/>
              <w:jc w:val="both"/>
              <w:rPr>
                <w:rFonts w:ascii="Times New Roman" w:eastAsia="等线" w:hAnsi="Times New Roman" w:cs="Times New Roman"/>
                <w:color w:val="000000" w:themeColor="text1"/>
                <w:sz w:val="24"/>
                <w:szCs w:val="24"/>
              </w:rPr>
            </w:pPr>
            <w:r w:rsidRPr="00CA0E30">
              <w:rPr>
                <w:rFonts w:ascii="Times New Roman" w:hAnsi="Times New Roman" w:cs="Times New Roman"/>
                <w:color w:val="000000" w:themeColor="text1"/>
                <w:sz w:val="24"/>
                <w:szCs w:val="24"/>
              </w:rPr>
              <w:t>Non</w:t>
            </w:r>
            <w:r w:rsidRPr="00CA0E30">
              <w:rPr>
                <w:rFonts w:ascii="Times New Roman" w:hAnsi="Times New Roman" w:cs="Times New Roman"/>
                <w:color w:val="000000" w:themeColor="text1"/>
                <w:sz w:val="24"/>
                <w:szCs w:val="24"/>
                <w:lang w:eastAsia="zh-CN"/>
              </w:rPr>
              <w:t>-</w:t>
            </w:r>
            <w:r w:rsidRPr="00CA0E30">
              <w:rPr>
                <w:rFonts w:ascii="Times New Roman" w:hAnsi="Times New Roman" w:cs="Times New Roman"/>
                <w:color w:val="000000" w:themeColor="text1"/>
                <w:sz w:val="24"/>
                <w:szCs w:val="24"/>
              </w:rPr>
              <w:t>pyrogène</w:t>
            </w:r>
          </w:p>
        </w:tc>
      </w:tr>
      <w:tr w:rsidR="00CA0E30" w:rsidRPr="00CA0E30" w14:paraId="26EE703F"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2E9AE517" w14:textId="77777777" w:rsidR="00F55804" w:rsidRPr="00CA0E30" w:rsidRDefault="00F55804" w:rsidP="00A02D4A">
            <w:pPr>
              <w:snapToGrid w:val="0"/>
              <w:jc w:val="center"/>
              <w:rPr>
                <w:rFonts w:ascii="Times New Roman" w:eastAsia="等线" w:hAnsi="Times New Roman" w:cs="Times New Roman"/>
                <w:color w:val="000000" w:themeColor="text1"/>
                <w:sz w:val="24"/>
                <w:szCs w:val="24"/>
              </w:rPr>
            </w:pPr>
            <w:r w:rsidRPr="00CA0E30">
              <w:rPr>
                <w:rFonts w:ascii="Times New Roman" w:hAnsi="Times New Roman" w:cs="Times New Roman"/>
                <w:noProof/>
                <w:color w:val="000000" w:themeColor="text1"/>
                <w:sz w:val="24"/>
                <w:szCs w:val="24"/>
              </w:rPr>
              <w:drawing>
                <wp:inline distT="0" distB="0" distL="114300" distR="114300" wp14:anchorId="7BC2FE94" wp14:editId="02AD7C10">
                  <wp:extent cx="615950" cy="549910"/>
                  <wp:effectExtent l="0" t="0" r="12700" b="254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14"/>
                          <a:stretch>
                            <a:fillRect/>
                          </a:stretch>
                        </pic:blipFill>
                        <pic:spPr>
                          <a:xfrm>
                            <a:off x="0" y="0"/>
                            <a:ext cx="615950" cy="549910"/>
                          </a:xfrm>
                          <a:prstGeom prst="rect">
                            <a:avLst/>
                          </a:prstGeom>
                          <a:noFill/>
                          <a:ln>
                            <a:noFill/>
                          </a:ln>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07536FA3" w14:textId="77777777" w:rsidR="00F55804" w:rsidRPr="00CA0E30" w:rsidRDefault="00F55804" w:rsidP="00A02D4A">
            <w:pPr>
              <w:snapToGrid w:val="0"/>
              <w:jc w:val="both"/>
              <w:rPr>
                <w:rFonts w:ascii="Times New Roman" w:eastAsia="等线" w:hAnsi="Times New Roman" w:cs="Times New Roman"/>
                <w:color w:val="000000" w:themeColor="text1"/>
                <w:sz w:val="24"/>
                <w:szCs w:val="24"/>
              </w:rPr>
            </w:pPr>
            <w:r w:rsidRPr="00CA0E30">
              <w:rPr>
                <w:rFonts w:ascii="Times New Roman" w:hAnsi="Times New Roman" w:cs="Times New Roman"/>
                <w:color w:val="000000" w:themeColor="text1"/>
                <w:sz w:val="24"/>
                <w:szCs w:val="24"/>
              </w:rPr>
              <w:t>Tenir à l'écart de la lumière du soleil</w:t>
            </w:r>
          </w:p>
        </w:tc>
      </w:tr>
      <w:tr w:rsidR="00CA0E30" w:rsidRPr="00CA0E30" w14:paraId="72645CBA"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2454E4EC" w14:textId="77777777" w:rsidR="00F55804" w:rsidRPr="00CA0E30" w:rsidRDefault="00F55804" w:rsidP="00A02D4A">
            <w:pPr>
              <w:snapToGrid w:val="0"/>
              <w:jc w:val="center"/>
              <w:rPr>
                <w:rFonts w:ascii="Times New Roman" w:eastAsia="等线" w:hAnsi="Times New Roman" w:cs="Times New Roman"/>
                <w:color w:val="000000" w:themeColor="text1"/>
                <w:sz w:val="24"/>
                <w:szCs w:val="24"/>
              </w:rPr>
            </w:pPr>
            <w:r w:rsidRPr="00CA0E30">
              <w:rPr>
                <w:rFonts w:ascii="Times New Roman" w:hAnsi="Times New Roman" w:cs="Times New Roman"/>
                <w:noProof/>
                <w:color w:val="000000" w:themeColor="text1"/>
                <w:sz w:val="24"/>
                <w:szCs w:val="24"/>
              </w:rPr>
              <w:drawing>
                <wp:inline distT="0" distB="0" distL="114300" distR="114300" wp14:anchorId="547D34DF" wp14:editId="62623EA8">
                  <wp:extent cx="452120" cy="502920"/>
                  <wp:effectExtent l="0" t="0" r="5080" b="1143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15"/>
                          <a:stretch>
                            <a:fillRect/>
                          </a:stretch>
                        </pic:blipFill>
                        <pic:spPr>
                          <a:xfrm>
                            <a:off x="0" y="0"/>
                            <a:ext cx="452120" cy="502920"/>
                          </a:xfrm>
                          <a:prstGeom prst="rect">
                            <a:avLst/>
                          </a:prstGeom>
                          <a:noFill/>
                          <a:ln>
                            <a:noFill/>
                          </a:ln>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67DF08E0" w14:textId="77777777" w:rsidR="00F55804" w:rsidRPr="00CA0E30" w:rsidRDefault="00F55804" w:rsidP="00A02D4A">
            <w:pPr>
              <w:snapToGrid w:val="0"/>
              <w:jc w:val="both"/>
              <w:rPr>
                <w:rFonts w:ascii="Times New Roman" w:eastAsia="等线" w:hAnsi="Times New Roman" w:cs="Times New Roman"/>
                <w:color w:val="000000" w:themeColor="text1"/>
                <w:sz w:val="24"/>
                <w:szCs w:val="24"/>
              </w:rPr>
            </w:pPr>
            <w:r w:rsidRPr="00CA0E30">
              <w:rPr>
                <w:rFonts w:ascii="Times New Roman" w:hAnsi="Times New Roman" w:cs="Times New Roman"/>
                <w:color w:val="000000" w:themeColor="text1"/>
                <w:sz w:val="24"/>
                <w:szCs w:val="24"/>
              </w:rPr>
              <w:t>Garder au sec</w:t>
            </w:r>
          </w:p>
        </w:tc>
      </w:tr>
      <w:tr w:rsidR="00CA0E30" w:rsidRPr="00CA0E30" w14:paraId="40597D4C"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0F46463B" w14:textId="77777777" w:rsidR="00F55804" w:rsidRPr="00CA0E30" w:rsidRDefault="00F55804" w:rsidP="00A02D4A">
            <w:pPr>
              <w:snapToGrid w:val="0"/>
              <w:jc w:val="center"/>
              <w:rPr>
                <w:rFonts w:ascii="Times New Roman" w:eastAsia="等线" w:hAnsi="Times New Roman" w:cs="Times New Roman"/>
                <w:color w:val="000000" w:themeColor="text1"/>
                <w:sz w:val="24"/>
                <w:szCs w:val="24"/>
              </w:rPr>
            </w:pPr>
            <w:r w:rsidRPr="00CA0E30">
              <w:rPr>
                <w:rFonts w:ascii="Times New Roman" w:hAnsi="Times New Roman" w:cs="Times New Roman"/>
                <w:noProof/>
                <w:color w:val="000000" w:themeColor="text1"/>
                <w:sz w:val="24"/>
                <w:szCs w:val="24"/>
              </w:rPr>
              <w:drawing>
                <wp:inline distT="0" distB="0" distL="114300" distR="114300" wp14:anchorId="6E0A963C" wp14:editId="27326885">
                  <wp:extent cx="229235" cy="457835"/>
                  <wp:effectExtent l="0" t="0" r="18415" b="18415"/>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6"/>
                          <a:stretch>
                            <a:fillRect/>
                          </a:stretch>
                        </pic:blipFill>
                        <pic:spPr>
                          <a:xfrm>
                            <a:off x="0" y="0"/>
                            <a:ext cx="229235" cy="457835"/>
                          </a:xfrm>
                          <a:prstGeom prst="rect">
                            <a:avLst/>
                          </a:prstGeom>
                          <a:noFill/>
                          <a:ln>
                            <a:noFill/>
                          </a:ln>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16010640" w14:textId="77777777" w:rsidR="00F55804" w:rsidRPr="00CA0E30" w:rsidRDefault="00F55804" w:rsidP="00A02D4A">
            <w:pPr>
              <w:snapToGrid w:val="0"/>
              <w:jc w:val="both"/>
              <w:rPr>
                <w:rFonts w:ascii="Times New Roman" w:eastAsia="等线" w:hAnsi="Times New Roman" w:cs="Times New Roman"/>
                <w:color w:val="000000" w:themeColor="text1"/>
                <w:sz w:val="24"/>
                <w:szCs w:val="24"/>
              </w:rPr>
            </w:pPr>
            <w:r w:rsidRPr="00CA0E30">
              <w:rPr>
                <w:rFonts w:ascii="Times New Roman" w:hAnsi="Times New Roman" w:cs="Times New Roman"/>
                <w:color w:val="000000" w:themeColor="text1"/>
                <w:sz w:val="24"/>
                <w:szCs w:val="24"/>
              </w:rPr>
              <w:t>Fragile, à manipuler avec précaution</w:t>
            </w:r>
          </w:p>
        </w:tc>
      </w:tr>
      <w:tr w:rsidR="00CA0E30" w:rsidRPr="00CA0E30" w14:paraId="00BB039B"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4428A15A" w14:textId="77777777" w:rsidR="00F55804" w:rsidRPr="00CA0E30" w:rsidRDefault="00F55804" w:rsidP="00A02D4A">
            <w:pPr>
              <w:snapToGrid w:val="0"/>
              <w:jc w:val="center"/>
              <w:rPr>
                <w:rFonts w:ascii="Times New Roman" w:eastAsia="等线" w:hAnsi="Times New Roman" w:cs="Times New Roman"/>
                <w:color w:val="000000" w:themeColor="text1"/>
                <w:sz w:val="24"/>
                <w:szCs w:val="24"/>
              </w:rPr>
            </w:pPr>
            <w:r w:rsidRPr="00CA0E30">
              <w:rPr>
                <w:rFonts w:ascii="Times New Roman" w:hAnsi="Times New Roman" w:cs="Times New Roman"/>
                <w:noProof/>
                <w:color w:val="000000" w:themeColor="text1"/>
                <w:sz w:val="24"/>
                <w:szCs w:val="24"/>
              </w:rPr>
              <w:drawing>
                <wp:inline distT="0" distB="0" distL="114300" distR="114300" wp14:anchorId="53E07F5F" wp14:editId="66833D2C">
                  <wp:extent cx="394970" cy="502920"/>
                  <wp:effectExtent l="0" t="0" r="5080" b="11430"/>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17"/>
                          <a:stretch>
                            <a:fillRect/>
                          </a:stretch>
                        </pic:blipFill>
                        <pic:spPr>
                          <a:xfrm>
                            <a:off x="0" y="0"/>
                            <a:ext cx="394970" cy="502920"/>
                          </a:xfrm>
                          <a:prstGeom prst="rect">
                            <a:avLst/>
                          </a:prstGeom>
                          <a:noFill/>
                          <a:ln>
                            <a:noFill/>
                          </a:ln>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65C2E43E" w14:textId="77777777" w:rsidR="00F55804" w:rsidRPr="00CA0E30" w:rsidRDefault="00F55804" w:rsidP="00A02D4A">
            <w:pPr>
              <w:snapToGrid w:val="0"/>
              <w:jc w:val="both"/>
              <w:rPr>
                <w:rFonts w:ascii="Times New Roman" w:eastAsia="等线" w:hAnsi="Times New Roman" w:cs="Times New Roman"/>
                <w:color w:val="000000" w:themeColor="text1"/>
                <w:sz w:val="24"/>
                <w:szCs w:val="24"/>
              </w:rPr>
            </w:pPr>
            <w:r w:rsidRPr="00CA0E30">
              <w:rPr>
                <w:rFonts w:ascii="Times New Roman" w:hAnsi="Times New Roman" w:cs="Times New Roman"/>
                <w:color w:val="000000" w:themeColor="text1"/>
                <w:sz w:val="24"/>
                <w:szCs w:val="24"/>
              </w:rPr>
              <w:t>Vers le haut</w:t>
            </w:r>
          </w:p>
        </w:tc>
      </w:tr>
      <w:bookmarkEnd w:id="5"/>
      <w:tr w:rsidR="00CA0E30" w:rsidRPr="00CA0E30" w14:paraId="6B3AC755"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2186060F" w14:textId="77777777" w:rsidR="00F55804" w:rsidRPr="00CA0E30" w:rsidRDefault="00F55804" w:rsidP="00A02D4A">
            <w:pPr>
              <w:snapToGrid w:val="0"/>
              <w:jc w:val="center"/>
              <w:rPr>
                <w:rFonts w:ascii="Times New Roman" w:hAnsi="Times New Roman" w:cs="Times New Roman"/>
                <w:color w:val="000000" w:themeColor="text1"/>
                <w:sz w:val="24"/>
                <w:szCs w:val="24"/>
              </w:rPr>
            </w:pPr>
            <w:r w:rsidRPr="00CA0E30">
              <w:rPr>
                <w:rFonts w:ascii="Times New Roman" w:hAnsi="Times New Roman" w:cs="Times New Roman"/>
                <w:noProof/>
                <w:color w:val="000000" w:themeColor="text1"/>
                <w:sz w:val="24"/>
                <w:szCs w:val="24"/>
              </w:rPr>
              <w:drawing>
                <wp:inline distT="0" distB="0" distL="114300" distR="114300" wp14:anchorId="53CE9CC5" wp14:editId="38611EF6">
                  <wp:extent cx="544195" cy="1001395"/>
                  <wp:effectExtent l="0" t="0" r="8255" b="825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8"/>
                          <a:stretch>
                            <a:fillRect/>
                          </a:stretch>
                        </pic:blipFill>
                        <pic:spPr>
                          <a:xfrm rot="5400000">
                            <a:off x="0" y="0"/>
                            <a:ext cx="544195" cy="1001395"/>
                          </a:xfrm>
                          <a:prstGeom prst="rect">
                            <a:avLst/>
                          </a:prstGeom>
                          <a:noFill/>
                          <a:ln>
                            <a:noFill/>
                          </a:ln>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2DA3427F" w14:textId="77777777" w:rsidR="00F55804" w:rsidRPr="00CA0E30" w:rsidRDefault="00F55804" w:rsidP="00A02D4A">
            <w:pPr>
              <w:snapToGrid w:val="0"/>
              <w:jc w:val="both"/>
              <w:rPr>
                <w:rFonts w:ascii="Times New Roman" w:eastAsia="等线" w:hAnsi="Times New Roman" w:cs="Times New Roman"/>
                <w:color w:val="000000" w:themeColor="text1"/>
                <w:sz w:val="24"/>
                <w:szCs w:val="24"/>
              </w:rPr>
            </w:pPr>
            <w:r w:rsidRPr="00CA0E30">
              <w:rPr>
                <w:rFonts w:ascii="Times New Roman" w:hAnsi="Times New Roman" w:cs="Times New Roman"/>
                <w:color w:val="000000" w:themeColor="text1"/>
                <w:sz w:val="24"/>
                <w:szCs w:val="24"/>
              </w:rPr>
              <w:t>Stérilisé à la vapeur ou par chaleur sèche</w:t>
            </w:r>
          </w:p>
        </w:tc>
      </w:tr>
      <w:tr w:rsidR="00CA0E30" w:rsidRPr="00CA0E30" w14:paraId="24A0D76E"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48FDEB1F" w14:textId="77777777" w:rsidR="00F55804" w:rsidRPr="00CA0E30" w:rsidRDefault="00F55804" w:rsidP="00A02D4A">
            <w:pPr>
              <w:snapToGrid w:val="0"/>
              <w:jc w:val="center"/>
              <w:rPr>
                <w:rFonts w:ascii="Times New Roman" w:eastAsia="等线" w:hAnsi="Times New Roman" w:cs="Times New Roman"/>
                <w:color w:val="000000" w:themeColor="text1"/>
                <w:sz w:val="24"/>
                <w:szCs w:val="24"/>
              </w:rPr>
            </w:pPr>
            <w:r w:rsidRPr="00CA0E30">
              <w:rPr>
                <w:rFonts w:ascii="Times New Roman" w:hAnsi="Times New Roman" w:cs="Times New Roman"/>
                <w:noProof/>
                <w:color w:val="000000" w:themeColor="text1"/>
                <w:sz w:val="24"/>
                <w:szCs w:val="24"/>
              </w:rPr>
              <w:drawing>
                <wp:inline distT="0" distB="0" distL="114300" distR="114300" wp14:anchorId="00EDA4B4" wp14:editId="37D43EFE">
                  <wp:extent cx="825500" cy="456565"/>
                  <wp:effectExtent l="0" t="0" r="12700" b="63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19"/>
                          <a:stretch>
                            <a:fillRect/>
                          </a:stretch>
                        </pic:blipFill>
                        <pic:spPr>
                          <a:xfrm>
                            <a:off x="0" y="0"/>
                            <a:ext cx="825500" cy="456565"/>
                          </a:xfrm>
                          <a:prstGeom prst="rect">
                            <a:avLst/>
                          </a:prstGeom>
                          <a:noFill/>
                          <a:ln>
                            <a:noFill/>
                          </a:ln>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5031E166" w14:textId="77777777" w:rsidR="00F55804" w:rsidRPr="00CA0E30" w:rsidRDefault="00F55804" w:rsidP="00A02D4A">
            <w:pPr>
              <w:snapToGrid w:val="0"/>
              <w:jc w:val="both"/>
              <w:rPr>
                <w:rFonts w:ascii="Times New Roman" w:eastAsia="等线" w:hAnsi="Times New Roman" w:cs="Times New Roman"/>
                <w:color w:val="000000" w:themeColor="text1"/>
                <w:sz w:val="24"/>
                <w:szCs w:val="24"/>
              </w:rPr>
            </w:pPr>
            <w:r w:rsidRPr="00CA0E30">
              <w:rPr>
                <w:rFonts w:ascii="Times New Roman" w:hAnsi="Times New Roman" w:cs="Times New Roman"/>
                <w:color w:val="000000" w:themeColor="text1"/>
                <w:sz w:val="24"/>
                <w:szCs w:val="24"/>
              </w:rPr>
              <w:t>Circuit de fluide stérile</w:t>
            </w:r>
          </w:p>
        </w:tc>
      </w:tr>
      <w:tr w:rsidR="00CA0E30" w:rsidRPr="00CA0E30" w14:paraId="0D4C1C2A"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4975547A" w14:textId="77777777" w:rsidR="00F55804" w:rsidRPr="00CA0E30" w:rsidRDefault="00F55804" w:rsidP="00A02D4A">
            <w:pPr>
              <w:snapToGrid w:val="0"/>
              <w:jc w:val="center"/>
              <w:rPr>
                <w:rFonts w:ascii="Times New Roman" w:eastAsia="等线" w:hAnsi="Times New Roman" w:cs="Times New Roman"/>
                <w:color w:val="000000" w:themeColor="text1"/>
                <w:sz w:val="24"/>
                <w:szCs w:val="24"/>
              </w:rPr>
            </w:pPr>
            <w:r w:rsidRPr="00CA0E30">
              <w:rPr>
                <w:rFonts w:ascii="Times New Roman" w:hAnsi="Times New Roman" w:cs="Times New Roman"/>
                <w:noProof/>
                <w:color w:val="000000" w:themeColor="text1"/>
                <w:sz w:val="24"/>
                <w:szCs w:val="24"/>
              </w:rPr>
              <w:drawing>
                <wp:inline distT="0" distB="0" distL="114300" distR="114300" wp14:anchorId="6481798D" wp14:editId="56211560">
                  <wp:extent cx="652780" cy="617220"/>
                  <wp:effectExtent l="0" t="0" r="13970" b="11430"/>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pic:cNvPicPr>
                            <a:picLocks noChangeAspect="1"/>
                          </pic:cNvPicPr>
                        </pic:nvPicPr>
                        <pic:blipFill>
                          <a:blip r:embed="rId20"/>
                          <a:stretch>
                            <a:fillRect/>
                          </a:stretch>
                        </pic:blipFill>
                        <pic:spPr>
                          <a:xfrm>
                            <a:off x="0" y="0"/>
                            <a:ext cx="652780" cy="617220"/>
                          </a:xfrm>
                          <a:prstGeom prst="rect">
                            <a:avLst/>
                          </a:prstGeom>
                          <a:noFill/>
                          <a:ln>
                            <a:noFill/>
                          </a:ln>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3536AB08" w14:textId="77777777" w:rsidR="00F55804" w:rsidRPr="00CA0E30" w:rsidRDefault="00F55804" w:rsidP="00A02D4A">
            <w:pPr>
              <w:snapToGrid w:val="0"/>
              <w:jc w:val="both"/>
              <w:rPr>
                <w:rFonts w:ascii="Times New Roman" w:eastAsia="等线" w:hAnsi="Times New Roman" w:cs="Times New Roman"/>
                <w:color w:val="000000" w:themeColor="text1"/>
                <w:sz w:val="24"/>
                <w:szCs w:val="24"/>
              </w:rPr>
            </w:pPr>
            <w:r w:rsidRPr="00CA0E30">
              <w:rPr>
                <w:rFonts w:ascii="Times New Roman" w:hAnsi="Times New Roman" w:cs="Times New Roman"/>
                <w:color w:val="000000" w:themeColor="text1"/>
                <w:sz w:val="24"/>
                <w:szCs w:val="24"/>
              </w:rPr>
              <w:t>Sans latex</w:t>
            </w:r>
          </w:p>
        </w:tc>
      </w:tr>
      <w:tr w:rsidR="00CA0E30" w:rsidRPr="00CA0E30" w14:paraId="6F432427"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3BE12AF5" w14:textId="77777777" w:rsidR="00F55804" w:rsidRPr="00CA0E30" w:rsidRDefault="00F55804" w:rsidP="00A02D4A">
            <w:pPr>
              <w:snapToGrid w:val="0"/>
              <w:jc w:val="center"/>
              <w:rPr>
                <w:rFonts w:ascii="Times New Roman" w:hAnsi="Times New Roman" w:cs="Times New Roman"/>
                <w:color w:val="000000" w:themeColor="text1"/>
                <w:sz w:val="24"/>
                <w:szCs w:val="24"/>
              </w:rPr>
            </w:pPr>
            <w:r w:rsidRPr="00CA0E30">
              <w:rPr>
                <w:rFonts w:ascii="Times New Roman" w:hAnsi="Times New Roman" w:cs="Times New Roman"/>
                <w:noProof/>
                <w:color w:val="000000" w:themeColor="text1"/>
                <w:sz w:val="24"/>
                <w:szCs w:val="24"/>
              </w:rPr>
              <w:drawing>
                <wp:inline distT="0" distB="0" distL="114300" distR="114300" wp14:anchorId="4E3DE714" wp14:editId="37D6D6FD">
                  <wp:extent cx="806450" cy="680085"/>
                  <wp:effectExtent l="0" t="0" r="12700" b="5715"/>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1"/>
                          <pic:cNvPicPr>
                            <a:picLocks noChangeAspect="1"/>
                          </pic:cNvPicPr>
                        </pic:nvPicPr>
                        <pic:blipFill>
                          <a:blip r:embed="rId21"/>
                          <a:stretch>
                            <a:fillRect/>
                          </a:stretch>
                        </pic:blipFill>
                        <pic:spPr>
                          <a:xfrm>
                            <a:off x="0" y="0"/>
                            <a:ext cx="806450" cy="680085"/>
                          </a:xfrm>
                          <a:prstGeom prst="rect">
                            <a:avLst/>
                          </a:prstGeom>
                          <a:noFill/>
                          <a:ln>
                            <a:noFill/>
                          </a:ln>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4839DF95" w14:textId="77777777" w:rsidR="00F55804" w:rsidRPr="00CA0E30" w:rsidRDefault="00F55804" w:rsidP="00A02D4A">
            <w:pPr>
              <w:snapToGrid w:val="0"/>
              <w:jc w:val="both"/>
              <w:rPr>
                <w:rFonts w:ascii="Times New Roman" w:eastAsia="等线" w:hAnsi="Times New Roman" w:cs="Times New Roman"/>
                <w:color w:val="000000" w:themeColor="text1"/>
                <w:sz w:val="24"/>
                <w:szCs w:val="24"/>
              </w:rPr>
            </w:pPr>
            <w:bookmarkStart w:id="6" w:name="OLE_LINK13"/>
            <w:r w:rsidRPr="00CA0E30">
              <w:rPr>
                <w:rFonts w:ascii="Times New Roman" w:hAnsi="Times New Roman" w:cs="Times New Roman"/>
                <w:color w:val="000000" w:themeColor="text1"/>
                <w:sz w:val="24"/>
                <w:szCs w:val="24"/>
              </w:rPr>
              <w:t>SANS DEHP</w:t>
            </w:r>
            <w:bookmarkEnd w:id="6"/>
          </w:p>
        </w:tc>
      </w:tr>
      <w:tr w:rsidR="00CA0E30" w:rsidRPr="00CA0E30" w14:paraId="49303DB7"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7DCEE1E0" w14:textId="77777777" w:rsidR="00F55804" w:rsidRPr="00CA0E30" w:rsidRDefault="00F55804" w:rsidP="00A02D4A">
            <w:pPr>
              <w:adjustRightInd w:val="0"/>
              <w:snapToGrid w:val="0"/>
              <w:jc w:val="center"/>
              <w:rPr>
                <w:rFonts w:ascii="Times New Roman" w:hAnsi="Times New Roman" w:cs="Times New Roman"/>
                <w:b/>
                <w:color w:val="000000" w:themeColor="text1"/>
                <w:kern w:val="2"/>
                <w:sz w:val="24"/>
                <w:szCs w:val="24"/>
              </w:rPr>
            </w:pPr>
            <w:r w:rsidRPr="00CA0E30">
              <w:rPr>
                <w:rFonts w:ascii="Times New Roman" w:hAnsi="Times New Roman" w:cs="Times New Roman"/>
                <w:noProof/>
                <w:color w:val="000000" w:themeColor="text1"/>
                <w:sz w:val="24"/>
                <w:szCs w:val="24"/>
              </w:rPr>
              <w:drawing>
                <wp:inline distT="0" distB="0" distL="114300" distR="114300" wp14:anchorId="480270E4" wp14:editId="20B1B186">
                  <wp:extent cx="613410" cy="410845"/>
                  <wp:effectExtent l="0" t="0" r="15240" b="8255"/>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pic:cNvPicPr>
                            <a:picLocks noChangeAspect="1"/>
                          </pic:cNvPicPr>
                        </pic:nvPicPr>
                        <pic:blipFill>
                          <a:blip r:embed="rId22"/>
                          <a:stretch>
                            <a:fillRect/>
                          </a:stretch>
                        </pic:blipFill>
                        <pic:spPr>
                          <a:xfrm>
                            <a:off x="0" y="0"/>
                            <a:ext cx="613410" cy="410845"/>
                          </a:xfrm>
                          <a:prstGeom prst="rect">
                            <a:avLst/>
                          </a:prstGeom>
                          <a:noFill/>
                          <a:ln>
                            <a:noFill/>
                          </a:ln>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04BC5C5E" w14:textId="77777777" w:rsidR="00F55804" w:rsidRPr="00CA0E30" w:rsidRDefault="00F55804" w:rsidP="00A02D4A">
            <w:pPr>
              <w:adjustRightInd w:val="0"/>
              <w:snapToGrid w:val="0"/>
              <w:jc w:val="both"/>
              <w:rPr>
                <w:rFonts w:ascii="Times New Roman" w:hAnsi="Times New Roman" w:cs="Times New Roman"/>
                <w:b/>
                <w:color w:val="000000" w:themeColor="text1"/>
                <w:kern w:val="2"/>
                <w:sz w:val="24"/>
                <w:szCs w:val="24"/>
              </w:rPr>
            </w:pPr>
            <w:r w:rsidRPr="00CA0E30">
              <w:rPr>
                <w:rFonts w:ascii="Times New Roman" w:hAnsi="Times New Roman" w:cs="Times New Roman"/>
                <w:color w:val="000000" w:themeColor="text1"/>
                <w:sz w:val="24"/>
                <w:szCs w:val="24"/>
              </w:rPr>
              <w:t>Dispositif médical</w:t>
            </w:r>
          </w:p>
        </w:tc>
      </w:tr>
      <w:tr w:rsidR="00CA0E30" w:rsidRPr="00CA0E30" w14:paraId="05151DA1"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5ABC7ED4" w14:textId="77777777" w:rsidR="00F55804" w:rsidRPr="00CA0E30" w:rsidRDefault="00F55804" w:rsidP="00A02D4A">
            <w:pPr>
              <w:adjustRightInd w:val="0"/>
              <w:snapToGrid w:val="0"/>
              <w:jc w:val="center"/>
              <w:rPr>
                <w:rFonts w:ascii="Times New Roman" w:hAnsi="Times New Roman" w:cs="Times New Roman"/>
                <w:b/>
                <w:color w:val="000000" w:themeColor="text1"/>
                <w:sz w:val="24"/>
                <w:szCs w:val="24"/>
              </w:rPr>
            </w:pPr>
            <w:r w:rsidRPr="00CA0E30">
              <w:rPr>
                <w:rFonts w:ascii="Times New Roman" w:hAnsi="Times New Roman" w:cs="Times New Roman"/>
                <w:noProof/>
                <w:color w:val="000000" w:themeColor="text1"/>
                <w:sz w:val="24"/>
                <w:szCs w:val="24"/>
              </w:rPr>
              <w:drawing>
                <wp:inline distT="0" distB="0" distL="114300" distR="114300" wp14:anchorId="5BF41B39" wp14:editId="3EC546BA">
                  <wp:extent cx="557530" cy="556260"/>
                  <wp:effectExtent l="0" t="0" r="13970" b="1524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3"/>
                          <a:stretch>
                            <a:fillRect/>
                          </a:stretch>
                        </pic:blipFill>
                        <pic:spPr>
                          <a:xfrm>
                            <a:off x="0" y="0"/>
                            <a:ext cx="557530" cy="556260"/>
                          </a:xfrm>
                          <a:prstGeom prst="rect">
                            <a:avLst/>
                          </a:prstGeom>
                          <a:noFill/>
                          <a:ln>
                            <a:noFill/>
                          </a:ln>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0C5A73B2" w14:textId="77777777" w:rsidR="00F55804" w:rsidRPr="00CA0E30" w:rsidRDefault="00F55804" w:rsidP="00A02D4A">
            <w:pPr>
              <w:widowControl/>
              <w:snapToGrid w:val="0"/>
              <w:jc w:val="both"/>
              <w:rPr>
                <w:rFonts w:ascii="Times New Roman" w:hAnsi="Times New Roman" w:cs="Times New Roman"/>
                <w:b/>
                <w:color w:val="000000" w:themeColor="text1"/>
                <w:sz w:val="24"/>
                <w:szCs w:val="24"/>
              </w:rPr>
            </w:pPr>
            <w:r w:rsidRPr="00CA0E30">
              <w:rPr>
                <w:rFonts w:ascii="Times New Roman" w:hAnsi="Times New Roman" w:cs="Times New Roman"/>
                <w:color w:val="000000" w:themeColor="text1"/>
                <w:sz w:val="24"/>
                <w:szCs w:val="24"/>
              </w:rPr>
              <w:t xml:space="preserve">Ne pas utiliser si l'emballage est endommagé et consulter la notice d'utilisation. </w:t>
            </w:r>
          </w:p>
        </w:tc>
      </w:tr>
      <w:tr w:rsidR="00CA0E30" w:rsidRPr="00CA0E30" w14:paraId="45FB558D"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161E522D" w14:textId="77777777" w:rsidR="00F55804" w:rsidRPr="00CA0E30" w:rsidRDefault="00F55804" w:rsidP="00A02D4A">
            <w:pPr>
              <w:adjustRightInd w:val="0"/>
              <w:snapToGrid w:val="0"/>
              <w:jc w:val="center"/>
              <w:rPr>
                <w:rFonts w:ascii="Times New Roman" w:hAnsi="Times New Roman" w:cs="Times New Roman"/>
                <w:color w:val="000000" w:themeColor="text1"/>
                <w:kern w:val="2"/>
                <w:sz w:val="24"/>
                <w:szCs w:val="24"/>
              </w:rPr>
            </w:pPr>
            <w:r w:rsidRPr="00CA0E30">
              <w:rPr>
                <w:rFonts w:ascii="Times New Roman" w:hAnsi="Times New Roman" w:cs="Times New Roman"/>
                <w:noProof/>
                <w:color w:val="000000" w:themeColor="text1"/>
                <w:sz w:val="24"/>
                <w:szCs w:val="24"/>
              </w:rPr>
              <w:drawing>
                <wp:inline distT="0" distB="0" distL="114300" distR="114300" wp14:anchorId="3137326D" wp14:editId="2D9645CF">
                  <wp:extent cx="513080" cy="525780"/>
                  <wp:effectExtent l="0" t="0" r="1270" b="762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4"/>
                          <a:stretch>
                            <a:fillRect/>
                          </a:stretch>
                        </pic:blipFill>
                        <pic:spPr>
                          <a:xfrm>
                            <a:off x="0" y="0"/>
                            <a:ext cx="513080" cy="525780"/>
                          </a:xfrm>
                          <a:prstGeom prst="rect">
                            <a:avLst/>
                          </a:prstGeom>
                          <a:noFill/>
                          <a:ln>
                            <a:noFill/>
                          </a:ln>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24435407" w14:textId="77777777" w:rsidR="00F55804" w:rsidRPr="00CA0E30" w:rsidRDefault="00F55804" w:rsidP="00A02D4A">
            <w:pPr>
              <w:adjustRightInd w:val="0"/>
              <w:snapToGrid w:val="0"/>
              <w:jc w:val="both"/>
              <w:rPr>
                <w:rFonts w:ascii="Times New Roman" w:hAnsi="Times New Roman" w:cs="Times New Roman"/>
                <w:color w:val="000000" w:themeColor="text1"/>
                <w:kern w:val="2"/>
                <w:sz w:val="24"/>
                <w:szCs w:val="24"/>
              </w:rPr>
            </w:pPr>
            <w:r w:rsidRPr="00CA0E30">
              <w:rPr>
                <w:rFonts w:ascii="Times New Roman" w:hAnsi="Times New Roman" w:cs="Times New Roman"/>
                <w:color w:val="000000" w:themeColor="text1"/>
                <w:sz w:val="24"/>
                <w:szCs w:val="24"/>
              </w:rPr>
              <w:t>Ne pas réutiliser</w:t>
            </w:r>
          </w:p>
        </w:tc>
      </w:tr>
      <w:tr w:rsidR="00CA0E30" w:rsidRPr="00CA0E30" w14:paraId="5119C725" w14:textId="77777777" w:rsidTr="00A02D4A">
        <w:tc>
          <w:tcPr>
            <w:tcW w:w="1421" w:type="pct"/>
            <w:tcBorders>
              <w:top w:val="single" w:sz="4" w:space="0" w:color="auto"/>
              <w:left w:val="single" w:sz="4" w:space="0" w:color="auto"/>
              <w:bottom w:val="single" w:sz="4" w:space="0" w:color="auto"/>
              <w:right w:val="single" w:sz="4" w:space="0" w:color="auto"/>
            </w:tcBorders>
            <w:vAlign w:val="center"/>
          </w:tcPr>
          <w:p w14:paraId="560DE73A" w14:textId="77777777" w:rsidR="00F55804" w:rsidRPr="00CA0E30" w:rsidRDefault="00F55804" w:rsidP="00A02D4A">
            <w:pPr>
              <w:adjustRightInd w:val="0"/>
              <w:snapToGrid w:val="0"/>
              <w:jc w:val="center"/>
              <w:rPr>
                <w:rFonts w:ascii="Times New Roman" w:hAnsi="Times New Roman" w:cs="Times New Roman"/>
                <w:color w:val="000000" w:themeColor="text1"/>
                <w:sz w:val="24"/>
                <w:szCs w:val="24"/>
              </w:rPr>
            </w:pPr>
            <w:r w:rsidRPr="00CA0E30">
              <w:rPr>
                <w:rFonts w:ascii="Times New Roman" w:hAnsi="Times New Roman" w:cs="Times New Roman"/>
                <w:noProof/>
                <w:color w:val="000000" w:themeColor="text1"/>
                <w:sz w:val="24"/>
                <w:szCs w:val="24"/>
              </w:rPr>
              <w:lastRenderedPageBreak/>
              <w:drawing>
                <wp:inline distT="0" distB="0" distL="114300" distR="114300" wp14:anchorId="7900D13D" wp14:editId="2F681675">
                  <wp:extent cx="980440" cy="461645"/>
                  <wp:effectExtent l="0" t="0" r="10160" b="14605"/>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ChangeAspect="1"/>
                          </pic:cNvPicPr>
                        </pic:nvPicPr>
                        <pic:blipFill>
                          <a:blip r:embed="rId25"/>
                          <a:stretch>
                            <a:fillRect/>
                          </a:stretch>
                        </pic:blipFill>
                        <pic:spPr>
                          <a:xfrm>
                            <a:off x="0" y="0"/>
                            <a:ext cx="980440" cy="461645"/>
                          </a:xfrm>
                          <a:prstGeom prst="rect">
                            <a:avLst/>
                          </a:prstGeom>
                          <a:noFill/>
                          <a:ln>
                            <a:noFill/>
                          </a:ln>
                        </pic:spPr>
                      </pic:pic>
                    </a:graphicData>
                  </a:graphic>
                </wp:inline>
              </w:drawing>
            </w:r>
          </w:p>
        </w:tc>
        <w:tc>
          <w:tcPr>
            <w:tcW w:w="3579" w:type="pct"/>
            <w:tcBorders>
              <w:top w:val="single" w:sz="4" w:space="0" w:color="auto"/>
              <w:left w:val="nil"/>
              <w:bottom w:val="single" w:sz="4" w:space="0" w:color="auto"/>
              <w:right w:val="single" w:sz="4" w:space="0" w:color="auto"/>
            </w:tcBorders>
            <w:vAlign w:val="center"/>
          </w:tcPr>
          <w:p w14:paraId="6E6C7036" w14:textId="77777777" w:rsidR="00F55804" w:rsidRPr="00CA0E30" w:rsidRDefault="00F55804" w:rsidP="00A02D4A">
            <w:pPr>
              <w:adjustRightInd w:val="0"/>
              <w:snapToGrid w:val="0"/>
              <w:jc w:val="both"/>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szCs w:val="24"/>
              </w:rPr>
              <w:t>Marquage CE et code de l'organisme notifié</w:t>
            </w:r>
          </w:p>
        </w:tc>
      </w:tr>
      <w:tr w:rsidR="00CA0E30" w:rsidRPr="00CA0E30" w14:paraId="58BE34A8" w14:textId="77777777" w:rsidTr="00A02D4A">
        <w:tc>
          <w:tcPr>
            <w:tcW w:w="1421" w:type="pct"/>
            <w:vAlign w:val="center"/>
          </w:tcPr>
          <w:p w14:paraId="64F9B646" w14:textId="77777777" w:rsidR="00F55804" w:rsidRPr="00CA0E30" w:rsidRDefault="00F55804" w:rsidP="00A02D4A">
            <w:pPr>
              <w:adjustRightInd w:val="0"/>
              <w:snapToGrid w:val="0"/>
              <w:jc w:val="center"/>
              <w:rPr>
                <w:rFonts w:ascii="Times New Roman" w:hAnsi="Times New Roman" w:cs="Times New Roman"/>
                <w:b/>
                <w:color w:val="000000" w:themeColor="text1"/>
                <w:kern w:val="2"/>
                <w:sz w:val="24"/>
                <w:szCs w:val="24"/>
              </w:rPr>
            </w:pPr>
            <w:r w:rsidRPr="00CA0E30">
              <w:rPr>
                <w:rFonts w:ascii="Times New Roman" w:hAnsi="Times New Roman" w:cs="Times New Roman"/>
                <w:noProof/>
                <w:color w:val="000000" w:themeColor="text1"/>
                <w:sz w:val="24"/>
                <w:szCs w:val="24"/>
              </w:rPr>
              <w:drawing>
                <wp:inline distT="0" distB="0" distL="114300" distR="114300" wp14:anchorId="473265BD" wp14:editId="7375D854">
                  <wp:extent cx="624205" cy="480695"/>
                  <wp:effectExtent l="0" t="0" r="4445" b="1460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6"/>
                          <a:stretch>
                            <a:fillRect/>
                          </a:stretch>
                        </pic:blipFill>
                        <pic:spPr>
                          <a:xfrm>
                            <a:off x="0" y="0"/>
                            <a:ext cx="624205" cy="480695"/>
                          </a:xfrm>
                          <a:prstGeom prst="rect">
                            <a:avLst/>
                          </a:prstGeom>
                          <a:noFill/>
                          <a:ln>
                            <a:noFill/>
                          </a:ln>
                        </pic:spPr>
                      </pic:pic>
                    </a:graphicData>
                  </a:graphic>
                </wp:inline>
              </w:drawing>
            </w:r>
          </w:p>
        </w:tc>
        <w:tc>
          <w:tcPr>
            <w:tcW w:w="3579" w:type="pct"/>
            <w:vAlign w:val="center"/>
          </w:tcPr>
          <w:p w14:paraId="5AD2817B" w14:textId="77777777" w:rsidR="00F55804" w:rsidRPr="00CA0E30" w:rsidRDefault="00F55804" w:rsidP="00A02D4A">
            <w:pPr>
              <w:adjustRightInd w:val="0"/>
              <w:snapToGrid w:val="0"/>
              <w:jc w:val="both"/>
              <w:rPr>
                <w:rFonts w:ascii="Times New Roman" w:hAnsi="Times New Roman" w:cs="Times New Roman"/>
                <w:b/>
                <w:color w:val="000000" w:themeColor="text1"/>
                <w:kern w:val="2"/>
                <w:sz w:val="24"/>
                <w:szCs w:val="24"/>
              </w:rPr>
            </w:pPr>
            <w:r w:rsidRPr="00CA0E30">
              <w:rPr>
                <w:rFonts w:ascii="Times New Roman" w:hAnsi="Times New Roman" w:cs="Times New Roman"/>
                <w:color w:val="000000" w:themeColor="text1"/>
                <w:sz w:val="24"/>
                <w:szCs w:val="24"/>
              </w:rPr>
              <w:t>Date de fabrication</w:t>
            </w:r>
          </w:p>
        </w:tc>
      </w:tr>
      <w:tr w:rsidR="00CA0E30" w:rsidRPr="00CA0E30" w14:paraId="6EDDF02C" w14:textId="77777777" w:rsidTr="00A02D4A">
        <w:tc>
          <w:tcPr>
            <w:tcW w:w="1421" w:type="pct"/>
            <w:vAlign w:val="center"/>
          </w:tcPr>
          <w:p w14:paraId="13F6FD3B" w14:textId="77777777" w:rsidR="00F55804" w:rsidRPr="00CA0E30" w:rsidRDefault="00F55804" w:rsidP="00A02D4A">
            <w:pPr>
              <w:adjustRightInd w:val="0"/>
              <w:snapToGrid w:val="0"/>
              <w:jc w:val="center"/>
              <w:rPr>
                <w:rFonts w:ascii="Times New Roman" w:hAnsi="Times New Roman" w:cs="Times New Roman"/>
                <w:color w:val="000000" w:themeColor="text1"/>
                <w:kern w:val="2"/>
                <w:sz w:val="24"/>
                <w:szCs w:val="24"/>
              </w:rPr>
            </w:pPr>
            <w:r w:rsidRPr="00CA0E30">
              <w:rPr>
                <w:rFonts w:ascii="Times New Roman" w:hAnsi="Times New Roman" w:cs="Times New Roman"/>
                <w:noProof/>
                <w:color w:val="000000" w:themeColor="text1"/>
                <w:sz w:val="24"/>
                <w:szCs w:val="24"/>
              </w:rPr>
              <w:drawing>
                <wp:inline distT="0" distB="0" distL="114300" distR="114300" wp14:anchorId="0AF8F219" wp14:editId="0B6C6BFF">
                  <wp:extent cx="506730" cy="535940"/>
                  <wp:effectExtent l="0" t="0" r="7620" b="1651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27"/>
                          <a:stretch>
                            <a:fillRect/>
                          </a:stretch>
                        </pic:blipFill>
                        <pic:spPr>
                          <a:xfrm>
                            <a:off x="0" y="0"/>
                            <a:ext cx="506730" cy="535940"/>
                          </a:xfrm>
                          <a:prstGeom prst="rect">
                            <a:avLst/>
                          </a:prstGeom>
                          <a:noFill/>
                          <a:ln>
                            <a:noFill/>
                          </a:ln>
                        </pic:spPr>
                      </pic:pic>
                    </a:graphicData>
                  </a:graphic>
                </wp:inline>
              </w:drawing>
            </w:r>
          </w:p>
        </w:tc>
        <w:tc>
          <w:tcPr>
            <w:tcW w:w="3579" w:type="pct"/>
            <w:vAlign w:val="center"/>
          </w:tcPr>
          <w:p w14:paraId="055D7F01" w14:textId="77777777" w:rsidR="00F55804" w:rsidRPr="00CA0E30" w:rsidRDefault="00F55804" w:rsidP="00A02D4A">
            <w:pPr>
              <w:adjustRightInd w:val="0"/>
              <w:snapToGrid w:val="0"/>
              <w:jc w:val="both"/>
              <w:rPr>
                <w:rFonts w:ascii="Times New Roman" w:hAnsi="Times New Roman" w:cs="Times New Roman"/>
                <w:color w:val="000000" w:themeColor="text1"/>
                <w:kern w:val="2"/>
                <w:sz w:val="24"/>
                <w:szCs w:val="24"/>
              </w:rPr>
            </w:pPr>
            <w:r w:rsidRPr="00CA0E30">
              <w:rPr>
                <w:rFonts w:ascii="Times New Roman" w:hAnsi="Times New Roman" w:cs="Times New Roman"/>
                <w:color w:val="000000" w:themeColor="text1"/>
                <w:sz w:val="24"/>
                <w:szCs w:val="24"/>
              </w:rPr>
              <w:t>Date de péremption</w:t>
            </w:r>
          </w:p>
        </w:tc>
      </w:tr>
      <w:tr w:rsidR="00CA0E30" w:rsidRPr="00CA0E30" w14:paraId="39E21167" w14:textId="77777777" w:rsidTr="00A02D4A">
        <w:tc>
          <w:tcPr>
            <w:tcW w:w="1421" w:type="pct"/>
          </w:tcPr>
          <w:p w14:paraId="5353CBA2" w14:textId="77777777" w:rsidR="00F55804" w:rsidRPr="00CA0E30" w:rsidRDefault="00F55804" w:rsidP="00A02D4A">
            <w:pPr>
              <w:snapToGrid w:val="0"/>
              <w:jc w:val="center"/>
              <w:rPr>
                <w:rFonts w:ascii="Times New Roman" w:hAnsi="Times New Roman" w:cs="Times New Roman"/>
                <w:color w:val="000000" w:themeColor="text1"/>
                <w:kern w:val="2"/>
                <w:sz w:val="24"/>
                <w:szCs w:val="24"/>
              </w:rPr>
            </w:pPr>
            <w:r w:rsidRPr="00CA0E30">
              <w:rPr>
                <w:rFonts w:ascii="Times New Roman" w:hAnsi="Times New Roman" w:cs="Times New Roman"/>
                <w:noProof/>
                <w:color w:val="000000" w:themeColor="text1"/>
                <w:sz w:val="24"/>
                <w:szCs w:val="24"/>
              </w:rPr>
              <w:drawing>
                <wp:inline distT="0" distB="0" distL="114300" distR="114300" wp14:anchorId="5977D0FB" wp14:editId="649901A0">
                  <wp:extent cx="552450" cy="495300"/>
                  <wp:effectExtent l="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8"/>
                          <a:stretch>
                            <a:fillRect/>
                          </a:stretch>
                        </pic:blipFill>
                        <pic:spPr>
                          <a:xfrm>
                            <a:off x="0" y="0"/>
                            <a:ext cx="552450" cy="495300"/>
                          </a:xfrm>
                          <a:prstGeom prst="rect">
                            <a:avLst/>
                          </a:prstGeom>
                          <a:noFill/>
                          <a:ln>
                            <a:noFill/>
                          </a:ln>
                        </pic:spPr>
                      </pic:pic>
                    </a:graphicData>
                  </a:graphic>
                </wp:inline>
              </w:drawing>
            </w:r>
          </w:p>
        </w:tc>
        <w:tc>
          <w:tcPr>
            <w:tcW w:w="3579" w:type="pct"/>
            <w:vAlign w:val="center"/>
          </w:tcPr>
          <w:p w14:paraId="50B7E53C" w14:textId="77777777" w:rsidR="00F55804" w:rsidRPr="00CA0E30" w:rsidRDefault="00F55804" w:rsidP="00A02D4A">
            <w:pPr>
              <w:snapToGrid w:val="0"/>
              <w:jc w:val="both"/>
              <w:rPr>
                <w:rFonts w:ascii="Times New Roman" w:hAnsi="Times New Roman" w:cs="Times New Roman"/>
                <w:color w:val="000000" w:themeColor="text1"/>
                <w:kern w:val="2"/>
                <w:sz w:val="24"/>
                <w:szCs w:val="24"/>
              </w:rPr>
            </w:pPr>
            <w:r w:rsidRPr="00CA0E30">
              <w:rPr>
                <w:rFonts w:ascii="Times New Roman" w:hAnsi="Times New Roman" w:cs="Times New Roman"/>
                <w:color w:val="000000" w:themeColor="text1"/>
                <w:sz w:val="24"/>
                <w:szCs w:val="24"/>
              </w:rPr>
              <w:t>Attention</w:t>
            </w:r>
          </w:p>
        </w:tc>
      </w:tr>
      <w:tr w:rsidR="00CA0E30" w:rsidRPr="00CA0E30" w14:paraId="52906682" w14:textId="77777777" w:rsidTr="00A02D4A">
        <w:tc>
          <w:tcPr>
            <w:tcW w:w="1421" w:type="pct"/>
            <w:vAlign w:val="center"/>
          </w:tcPr>
          <w:p w14:paraId="30C277C2" w14:textId="77777777" w:rsidR="00F55804" w:rsidRPr="00CA0E30" w:rsidRDefault="00F55804" w:rsidP="00A02D4A">
            <w:pPr>
              <w:adjustRightInd w:val="0"/>
              <w:snapToGrid w:val="0"/>
              <w:jc w:val="center"/>
              <w:rPr>
                <w:rFonts w:ascii="Times New Roman" w:hAnsi="Times New Roman" w:cs="Times New Roman"/>
                <w:b/>
                <w:color w:val="000000" w:themeColor="text1"/>
                <w:kern w:val="2"/>
                <w:sz w:val="24"/>
                <w:szCs w:val="24"/>
              </w:rPr>
            </w:pPr>
            <w:r w:rsidRPr="00CA0E30">
              <w:rPr>
                <w:rFonts w:ascii="Times New Roman" w:hAnsi="Times New Roman" w:cs="Times New Roman"/>
                <w:noProof/>
                <w:color w:val="000000" w:themeColor="text1"/>
                <w:sz w:val="24"/>
                <w:szCs w:val="24"/>
              </w:rPr>
              <w:drawing>
                <wp:inline distT="0" distB="0" distL="114300" distR="114300" wp14:anchorId="5CE04C29" wp14:editId="23D6B676">
                  <wp:extent cx="594995" cy="441960"/>
                  <wp:effectExtent l="0" t="0" r="14605" b="1524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29"/>
                          <a:stretch>
                            <a:fillRect/>
                          </a:stretch>
                        </pic:blipFill>
                        <pic:spPr>
                          <a:xfrm>
                            <a:off x="0" y="0"/>
                            <a:ext cx="594995" cy="441960"/>
                          </a:xfrm>
                          <a:prstGeom prst="rect">
                            <a:avLst/>
                          </a:prstGeom>
                          <a:noFill/>
                          <a:ln>
                            <a:noFill/>
                          </a:ln>
                        </pic:spPr>
                      </pic:pic>
                    </a:graphicData>
                  </a:graphic>
                </wp:inline>
              </w:drawing>
            </w:r>
          </w:p>
        </w:tc>
        <w:tc>
          <w:tcPr>
            <w:tcW w:w="3579" w:type="pct"/>
            <w:vAlign w:val="center"/>
          </w:tcPr>
          <w:p w14:paraId="2F791110" w14:textId="77777777" w:rsidR="00F55804" w:rsidRPr="00CA0E30" w:rsidRDefault="00F55804" w:rsidP="00A02D4A">
            <w:pPr>
              <w:adjustRightInd w:val="0"/>
              <w:snapToGrid w:val="0"/>
              <w:jc w:val="both"/>
              <w:rPr>
                <w:rFonts w:ascii="Times New Roman" w:hAnsi="Times New Roman" w:cs="Times New Roman"/>
                <w:color w:val="000000" w:themeColor="text1"/>
                <w:kern w:val="2"/>
                <w:sz w:val="24"/>
                <w:szCs w:val="24"/>
              </w:rPr>
            </w:pPr>
            <w:r w:rsidRPr="00CA0E30">
              <w:rPr>
                <w:rFonts w:ascii="Times New Roman" w:hAnsi="Times New Roman" w:cs="Times New Roman"/>
                <w:color w:val="000000" w:themeColor="text1"/>
                <w:sz w:val="24"/>
                <w:szCs w:val="24"/>
              </w:rPr>
              <w:t>Consultez le mode d'emploi ou le mode d'emploi électronique</w:t>
            </w:r>
          </w:p>
        </w:tc>
      </w:tr>
      <w:tr w:rsidR="00CA0E30" w:rsidRPr="00CA0E30" w14:paraId="1B15223D" w14:textId="77777777" w:rsidTr="00A02D4A">
        <w:tc>
          <w:tcPr>
            <w:tcW w:w="1421" w:type="pct"/>
            <w:vAlign w:val="center"/>
          </w:tcPr>
          <w:p w14:paraId="08B95EF3" w14:textId="77777777" w:rsidR="00F55804" w:rsidRPr="00CA0E30" w:rsidRDefault="00F55804" w:rsidP="00A02D4A">
            <w:pPr>
              <w:adjustRightInd w:val="0"/>
              <w:snapToGrid w:val="0"/>
              <w:jc w:val="center"/>
              <w:rPr>
                <w:rFonts w:ascii="Times New Roman" w:hAnsi="Times New Roman" w:cs="Times New Roman"/>
                <w:b/>
                <w:color w:val="000000" w:themeColor="text1"/>
                <w:kern w:val="2"/>
                <w:sz w:val="24"/>
                <w:szCs w:val="24"/>
              </w:rPr>
            </w:pPr>
            <w:r w:rsidRPr="00CA0E30">
              <w:rPr>
                <w:rFonts w:ascii="Times New Roman" w:hAnsi="Times New Roman" w:cs="Times New Roman"/>
                <w:noProof/>
                <w:color w:val="000000" w:themeColor="text1"/>
                <w:sz w:val="24"/>
                <w:szCs w:val="24"/>
              </w:rPr>
              <w:drawing>
                <wp:inline distT="0" distB="0" distL="114300" distR="114300" wp14:anchorId="7F22801D" wp14:editId="6999E207">
                  <wp:extent cx="567690" cy="575945"/>
                  <wp:effectExtent l="0" t="0" r="3810" b="1460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30"/>
                          <a:stretch>
                            <a:fillRect/>
                          </a:stretch>
                        </pic:blipFill>
                        <pic:spPr>
                          <a:xfrm>
                            <a:off x="0" y="0"/>
                            <a:ext cx="567690" cy="575945"/>
                          </a:xfrm>
                          <a:prstGeom prst="rect">
                            <a:avLst/>
                          </a:prstGeom>
                          <a:noFill/>
                          <a:ln>
                            <a:noFill/>
                          </a:ln>
                        </pic:spPr>
                      </pic:pic>
                    </a:graphicData>
                  </a:graphic>
                </wp:inline>
              </w:drawing>
            </w:r>
          </w:p>
        </w:tc>
        <w:tc>
          <w:tcPr>
            <w:tcW w:w="3579" w:type="pct"/>
            <w:vAlign w:val="center"/>
          </w:tcPr>
          <w:p w14:paraId="4A7C3BF6" w14:textId="77777777" w:rsidR="00F55804" w:rsidRPr="00CA0E30" w:rsidRDefault="00F55804" w:rsidP="00A02D4A">
            <w:pPr>
              <w:adjustRightInd w:val="0"/>
              <w:snapToGrid w:val="0"/>
              <w:jc w:val="both"/>
              <w:rPr>
                <w:rFonts w:ascii="Times New Roman" w:hAnsi="Times New Roman" w:cs="Times New Roman"/>
                <w:color w:val="000000" w:themeColor="text1"/>
                <w:kern w:val="2"/>
                <w:sz w:val="24"/>
                <w:szCs w:val="24"/>
              </w:rPr>
            </w:pPr>
            <w:r w:rsidRPr="00CA0E30">
              <w:rPr>
                <w:rFonts w:ascii="Times New Roman" w:hAnsi="Times New Roman" w:cs="Times New Roman"/>
                <w:color w:val="000000" w:themeColor="text1"/>
                <w:sz w:val="24"/>
                <w:szCs w:val="24"/>
              </w:rPr>
              <w:t>Ne pas restériliser</w:t>
            </w:r>
          </w:p>
        </w:tc>
      </w:tr>
      <w:tr w:rsidR="00CA0E30" w:rsidRPr="00CA0E30" w14:paraId="2E52C7E4" w14:textId="77777777" w:rsidTr="00A02D4A">
        <w:tc>
          <w:tcPr>
            <w:tcW w:w="1421" w:type="pct"/>
            <w:vAlign w:val="center"/>
          </w:tcPr>
          <w:p w14:paraId="14CF37C8" w14:textId="77777777" w:rsidR="00F55804" w:rsidRPr="00CA0E30" w:rsidRDefault="00F55804" w:rsidP="00A02D4A">
            <w:pPr>
              <w:adjustRightInd w:val="0"/>
              <w:snapToGrid w:val="0"/>
              <w:jc w:val="center"/>
              <w:rPr>
                <w:rFonts w:ascii="Times New Roman" w:hAnsi="Times New Roman" w:cs="Times New Roman"/>
                <w:color w:val="000000" w:themeColor="text1"/>
                <w:sz w:val="24"/>
                <w:szCs w:val="24"/>
              </w:rPr>
            </w:pPr>
            <w:r w:rsidRPr="00CA0E30">
              <w:rPr>
                <w:rFonts w:ascii="Times New Roman" w:hAnsi="Times New Roman" w:cs="Times New Roman"/>
                <w:noProof/>
                <w:color w:val="000000" w:themeColor="text1"/>
                <w:sz w:val="24"/>
                <w:szCs w:val="24"/>
              </w:rPr>
              <w:drawing>
                <wp:inline distT="0" distB="0" distL="114300" distR="114300" wp14:anchorId="4F810C5F" wp14:editId="24C46C95">
                  <wp:extent cx="789940" cy="875030"/>
                  <wp:effectExtent l="0" t="0" r="1270" b="10160"/>
                  <wp:docPr id="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
                          <pic:cNvPicPr>
                            <a:picLocks noChangeAspect="1"/>
                          </pic:cNvPicPr>
                        </pic:nvPicPr>
                        <pic:blipFill>
                          <a:blip r:embed="rId31"/>
                          <a:stretch>
                            <a:fillRect/>
                          </a:stretch>
                        </pic:blipFill>
                        <pic:spPr>
                          <a:xfrm rot="5400000">
                            <a:off x="0" y="0"/>
                            <a:ext cx="789940" cy="875030"/>
                          </a:xfrm>
                          <a:prstGeom prst="rect">
                            <a:avLst/>
                          </a:prstGeom>
                          <a:noFill/>
                          <a:ln>
                            <a:noFill/>
                          </a:ln>
                        </pic:spPr>
                      </pic:pic>
                    </a:graphicData>
                  </a:graphic>
                </wp:inline>
              </w:drawing>
            </w:r>
          </w:p>
        </w:tc>
        <w:tc>
          <w:tcPr>
            <w:tcW w:w="3579" w:type="pct"/>
            <w:vAlign w:val="center"/>
          </w:tcPr>
          <w:p w14:paraId="6C9BC148" w14:textId="77777777" w:rsidR="00F55804" w:rsidRPr="00CA0E30" w:rsidRDefault="00F55804" w:rsidP="00A02D4A">
            <w:pPr>
              <w:adjustRightInd w:val="0"/>
              <w:snapToGrid w:val="0"/>
              <w:jc w:val="both"/>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szCs w:val="24"/>
              </w:rPr>
              <w:t>Identifiant unique de l'appareil</w:t>
            </w:r>
          </w:p>
        </w:tc>
      </w:tr>
      <w:tr w:rsidR="00CA0E30" w:rsidRPr="00CA0E30" w14:paraId="08727521" w14:textId="77777777" w:rsidTr="00A02D4A">
        <w:tc>
          <w:tcPr>
            <w:tcW w:w="1421" w:type="pct"/>
            <w:vAlign w:val="center"/>
          </w:tcPr>
          <w:p w14:paraId="38CB3C7C" w14:textId="74E105D2" w:rsidR="00F55804" w:rsidRPr="00CA0E30" w:rsidRDefault="00C330B7" w:rsidP="00A02D4A">
            <w:pPr>
              <w:adjustRightInd w:val="0"/>
              <w:snapToGrid w:val="0"/>
              <w:jc w:val="center"/>
              <w:rPr>
                <w:rFonts w:ascii="Times New Roman" w:hAnsi="Times New Roman" w:cs="Times New Roman"/>
                <w:color w:val="000000" w:themeColor="text1"/>
                <w:sz w:val="24"/>
                <w:szCs w:val="24"/>
              </w:rPr>
            </w:pPr>
            <w:r>
              <w:rPr>
                <w:noProof/>
              </w:rPr>
              <w:drawing>
                <wp:inline distT="0" distB="0" distL="0" distR="0" wp14:anchorId="77A94B10" wp14:editId="34B195BB">
                  <wp:extent cx="752475" cy="495300"/>
                  <wp:effectExtent l="0" t="0" r="9525" b="0"/>
                  <wp:docPr id="1071" name="图片 1">
                    <a:extLst xmlns:a="http://schemas.openxmlformats.org/drawingml/2006/main">
                      <a:ext uri="{FF2B5EF4-FFF2-40B4-BE49-F238E27FC236}">
                        <a16:creationId xmlns:a16="http://schemas.microsoft.com/office/drawing/2014/main" id="{E00DDA5C-F9CB-4E41-8F21-B08D2C8D0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图片 1">
                            <a:extLst>
                              <a:ext uri="{FF2B5EF4-FFF2-40B4-BE49-F238E27FC236}">
                                <a16:creationId xmlns:a16="http://schemas.microsoft.com/office/drawing/2014/main" id="{E00DDA5C-F9CB-4E41-8F21-B08D2C8D0895}"/>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579" w:type="pct"/>
            <w:vAlign w:val="center"/>
          </w:tcPr>
          <w:p w14:paraId="67DC45E6" w14:textId="77777777" w:rsidR="00F55804" w:rsidRPr="00CA0E30" w:rsidRDefault="00F55804" w:rsidP="00A02D4A">
            <w:pPr>
              <w:adjustRightInd w:val="0"/>
              <w:snapToGrid w:val="0"/>
              <w:jc w:val="both"/>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szCs w:val="24"/>
              </w:rPr>
              <w:t>Indique les limites de température auxquelles le dispositif médical peut être exposé en toute sécurité (20℃-25℃)</w:t>
            </w:r>
          </w:p>
        </w:tc>
      </w:tr>
      <w:tr w:rsidR="00CA0E30" w:rsidRPr="00CA0E30" w14:paraId="6B0D6243" w14:textId="77777777" w:rsidTr="00A02D4A">
        <w:tc>
          <w:tcPr>
            <w:tcW w:w="1421" w:type="pct"/>
            <w:vAlign w:val="center"/>
          </w:tcPr>
          <w:p w14:paraId="2A042E09" w14:textId="77777777" w:rsidR="00F55804" w:rsidRPr="00CA0E30" w:rsidRDefault="00F55804" w:rsidP="00A02D4A">
            <w:pPr>
              <w:adjustRightInd w:val="0"/>
              <w:snapToGrid w:val="0"/>
              <w:jc w:val="center"/>
              <w:rPr>
                <w:rFonts w:ascii="Times New Roman" w:hAnsi="Times New Roman" w:cs="Times New Roman"/>
                <w:color w:val="000000" w:themeColor="text1"/>
                <w:sz w:val="24"/>
                <w:szCs w:val="24"/>
              </w:rPr>
            </w:pPr>
            <w:r w:rsidRPr="00CA0E30">
              <w:rPr>
                <w:rFonts w:ascii="Times New Roman" w:hAnsi="Times New Roman" w:cs="Times New Roman"/>
                <w:noProof/>
                <w:color w:val="000000" w:themeColor="text1"/>
                <w:sz w:val="24"/>
                <w:szCs w:val="24"/>
              </w:rPr>
              <w:drawing>
                <wp:inline distT="0" distB="0" distL="114300" distR="114300" wp14:anchorId="0193A7C0" wp14:editId="189718C4">
                  <wp:extent cx="1511300" cy="643890"/>
                  <wp:effectExtent l="0" t="0" r="12700" b="3810"/>
                  <wp:docPr id="26" name="图片 26" descr="174970465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749704650627"/>
                          <pic:cNvPicPr>
                            <a:picLocks noChangeAspect="1"/>
                          </pic:cNvPicPr>
                        </pic:nvPicPr>
                        <pic:blipFill>
                          <a:blip r:embed="rId33"/>
                          <a:stretch>
                            <a:fillRect/>
                          </a:stretch>
                        </pic:blipFill>
                        <pic:spPr>
                          <a:xfrm>
                            <a:off x="0" y="0"/>
                            <a:ext cx="1511300" cy="643890"/>
                          </a:xfrm>
                          <a:prstGeom prst="rect">
                            <a:avLst/>
                          </a:prstGeom>
                        </pic:spPr>
                      </pic:pic>
                    </a:graphicData>
                  </a:graphic>
                </wp:inline>
              </w:drawing>
            </w:r>
          </w:p>
        </w:tc>
        <w:tc>
          <w:tcPr>
            <w:tcW w:w="3579" w:type="pct"/>
            <w:vAlign w:val="center"/>
          </w:tcPr>
          <w:p w14:paraId="7D66C7D6" w14:textId="77777777" w:rsidR="00F55804" w:rsidRPr="00CA0E30" w:rsidRDefault="00F55804" w:rsidP="00A02D4A">
            <w:pPr>
              <w:adjustRightInd w:val="0"/>
              <w:snapToGrid w:val="0"/>
              <w:jc w:val="both"/>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szCs w:val="24"/>
              </w:rPr>
              <w:t>Le dispositif médical contient un circuit de fluide stérile qui a été stérilisé à la vapeur ou à la chaleur sèche. Indique un système à barrière stérile unique avec emballage protecteur à l'extérieur</w:t>
            </w:r>
          </w:p>
        </w:tc>
      </w:tr>
      <w:tr w:rsidR="00CA0E30" w:rsidRPr="00CA0E30" w14:paraId="183D0E74" w14:textId="77777777" w:rsidTr="00A02D4A">
        <w:tc>
          <w:tcPr>
            <w:tcW w:w="1421" w:type="pct"/>
            <w:vAlign w:val="center"/>
          </w:tcPr>
          <w:p w14:paraId="7B7F988D" w14:textId="77777777" w:rsidR="00F55804" w:rsidRPr="00CA0E30" w:rsidRDefault="00F55804" w:rsidP="00A02D4A">
            <w:pPr>
              <w:adjustRightInd w:val="0"/>
              <w:snapToGrid w:val="0"/>
              <w:jc w:val="center"/>
              <w:rPr>
                <w:rFonts w:ascii="Times New Roman" w:eastAsia="黑体" w:hAnsi="Times New Roman" w:cs="Times New Roman"/>
                <w:color w:val="000000" w:themeColor="text1"/>
                <w:sz w:val="24"/>
                <w:szCs w:val="24"/>
              </w:rPr>
            </w:pPr>
            <w:r w:rsidRPr="00CA0E30">
              <w:rPr>
                <w:rFonts w:ascii="Times New Roman" w:hAnsi="Times New Roman" w:cs="Times New Roman"/>
                <w:noProof/>
                <w:color w:val="000000" w:themeColor="text1"/>
                <w:sz w:val="24"/>
                <w:szCs w:val="24"/>
              </w:rPr>
              <w:drawing>
                <wp:inline distT="0" distB="0" distL="114300" distR="114300" wp14:anchorId="779DCA87" wp14:editId="7B6F92A4">
                  <wp:extent cx="1522730" cy="671195"/>
                  <wp:effectExtent l="0" t="0" r="1270" b="14605"/>
                  <wp:docPr id="35" name="图片 35" descr="174970541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749705410930"/>
                          <pic:cNvPicPr>
                            <a:picLocks noChangeAspect="1"/>
                          </pic:cNvPicPr>
                        </pic:nvPicPr>
                        <pic:blipFill>
                          <a:blip r:embed="rId34"/>
                          <a:stretch>
                            <a:fillRect/>
                          </a:stretch>
                        </pic:blipFill>
                        <pic:spPr>
                          <a:xfrm>
                            <a:off x="0" y="0"/>
                            <a:ext cx="1522730" cy="671195"/>
                          </a:xfrm>
                          <a:prstGeom prst="rect">
                            <a:avLst/>
                          </a:prstGeom>
                        </pic:spPr>
                      </pic:pic>
                    </a:graphicData>
                  </a:graphic>
                </wp:inline>
              </w:drawing>
            </w:r>
          </w:p>
        </w:tc>
        <w:tc>
          <w:tcPr>
            <w:tcW w:w="3579" w:type="pct"/>
            <w:vAlign w:val="center"/>
          </w:tcPr>
          <w:p w14:paraId="690C4EEF" w14:textId="77777777" w:rsidR="00F55804" w:rsidRPr="00CA0E30" w:rsidRDefault="00F55804" w:rsidP="00A02D4A">
            <w:pPr>
              <w:adjustRightInd w:val="0"/>
              <w:snapToGrid w:val="0"/>
              <w:jc w:val="both"/>
              <w:rPr>
                <w:rFonts w:ascii="Times New Roman" w:hAnsi="Times New Roman" w:cs="Times New Roman"/>
                <w:color w:val="000000" w:themeColor="text1"/>
                <w:sz w:val="24"/>
                <w:szCs w:val="24"/>
              </w:rPr>
            </w:pPr>
            <w:r w:rsidRPr="00CA0E30">
              <w:rPr>
                <w:rFonts w:ascii="Times New Roman" w:hAnsi="Times New Roman" w:cs="Times New Roman"/>
                <w:color w:val="000000" w:themeColor="text1"/>
                <w:sz w:val="24"/>
                <w:szCs w:val="24"/>
              </w:rPr>
              <w:t>Le dispositif médical contient un circuit de fluide stérile qui a été stérilisé à la vapeur ou à la chaleur sèche. Indique un système à barrière stérile unique</w:t>
            </w:r>
          </w:p>
        </w:tc>
      </w:tr>
    </w:tbl>
    <w:p w14:paraId="3F3913A2" w14:textId="093C448A" w:rsidR="006F14CC" w:rsidRDefault="006F14CC">
      <w:pPr>
        <w:spacing w:before="98" w:line="223" w:lineRule="auto"/>
        <w:rPr>
          <w:rFonts w:ascii="Arial" w:eastAsia="Calibri" w:hAnsi="Arial" w:cs="Arial"/>
          <w:sz w:val="28"/>
          <w:szCs w:val="28"/>
        </w:rPr>
      </w:pPr>
    </w:p>
    <w:sectPr w:rsidR="006F14CC">
      <w:headerReference w:type="first" r:id="rId35"/>
      <w:pgSz w:w="11910" w:h="16840"/>
      <w:pgMar w:top="1134" w:right="1134" w:bottom="1134" w:left="1134" w:header="720" w:footer="720" w:gutter="0"/>
      <w:pgNumType w:start="1"/>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5ED6" w14:textId="77777777" w:rsidR="0005306B" w:rsidRDefault="0005306B">
      <w:r>
        <w:separator/>
      </w:r>
    </w:p>
  </w:endnote>
  <w:endnote w:type="continuationSeparator" w:id="0">
    <w:p w14:paraId="0AF8414A" w14:textId="77777777" w:rsidR="0005306B" w:rsidRDefault="0005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3C72" w14:textId="77777777" w:rsidR="0005306B" w:rsidRDefault="0005306B">
      <w:r>
        <w:separator/>
      </w:r>
    </w:p>
  </w:footnote>
  <w:footnote w:type="continuationSeparator" w:id="0">
    <w:p w14:paraId="2D824537" w14:textId="77777777" w:rsidR="0005306B" w:rsidRDefault="00053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0E79" w14:textId="77777777" w:rsidR="006F14CC" w:rsidRDefault="006F14CC">
    <w:pPr>
      <w:pStyle w:val="ac"/>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45B439"/>
    <w:multiLevelType w:val="singleLevel"/>
    <w:tmpl w:val="C745B439"/>
    <w:lvl w:ilvl="0">
      <w:start w:val="1"/>
      <w:numFmt w:val="upperLetter"/>
      <w:lvlText w:val="%1."/>
      <w:lvlJc w:val="left"/>
      <w:pPr>
        <w:ind w:left="425" w:hanging="425"/>
      </w:pPr>
      <w:rPr>
        <w:rFonts w:ascii="Arial" w:hAnsi="Arial" w:cs="Arial" w:hint="default"/>
        <w:b w:val="0"/>
        <w:bCs w:val="0"/>
        <w:sz w:val="24"/>
        <w:szCs w:val="24"/>
      </w:rPr>
    </w:lvl>
  </w:abstractNum>
  <w:abstractNum w:abstractNumId="1" w15:restartNumberingAfterBreak="0">
    <w:nsid w:val="D9A889CD"/>
    <w:multiLevelType w:val="singleLevel"/>
    <w:tmpl w:val="D9A889CD"/>
    <w:lvl w:ilvl="0">
      <w:start w:val="1"/>
      <w:numFmt w:val="upperLetter"/>
      <w:lvlText w:val="%1."/>
      <w:lvlJc w:val="left"/>
      <w:pPr>
        <w:ind w:left="425" w:hanging="425"/>
      </w:pPr>
      <w:rPr>
        <w:rFonts w:ascii="Arial" w:hAnsi="Arial" w:cs="Arial" w:hint="default"/>
        <w:b w:val="0"/>
        <w:bCs w:val="0"/>
        <w:sz w:val="24"/>
        <w:szCs w:val="24"/>
      </w:rPr>
    </w:lvl>
  </w:abstractNum>
  <w:abstractNum w:abstractNumId="2" w15:restartNumberingAfterBreak="0">
    <w:nsid w:val="13902C9A"/>
    <w:multiLevelType w:val="multilevel"/>
    <w:tmpl w:val="AA9E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2048F"/>
    <w:multiLevelType w:val="hybridMultilevel"/>
    <w:tmpl w:val="3C7478BE"/>
    <w:lvl w:ilvl="0" w:tplc="7DA002B8">
      <w:start w:val="1"/>
      <w:numFmt w:val="bullet"/>
      <w:lvlText w:val=""/>
      <w:lvlJc w:val="left"/>
      <w:pPr>
        <w:ind w:left="1080" w:hanging="360"/>
      </w:pPr>
      <w:rPr>
        <w:rFonts w:ascii="Symbol" w:hAnsi="Symbol"/>
      </w:rPr>
    </w:lvl>
    <w:lvl w:ilvl="1" w:tplc="9B9ACE3C">
      <w:start w:val="1"/>
      <w:numFmt w:val="bullet"/>
      <w:lvlText w:val=""/>
      <w:lvlJc w:val="left"/>
      <w:pPr>
        <w:ind w:left="1080" w:hanging="360"/>
      </w:pPr>
      <w:rPr>
        <w:rFonts w:ascii="Symbol" w:hAnsi="Symbol"/>
      </w:rPr>
    </w:lvl>
    <w:lvl w:ilvl="2" w:tplc="80D02734">
      <w:start w:val="1"/>
      <w:numFmt w:val="bullet"/>
      <w:lvlText w:val=""/>
      <w:lvlJc w:val="left"/>
      <w:pPr>
        <w:ind w:left="1080" w:hanging="360"/>
      </w:pPr>
      <w:rPr>
        <w:rFonts w:ascii="Symbol" w:hAnsi="Symbol"/>
      </w:rPr>
    </w:lvl>
    <w:lvl w:ilvl="3" w:tplc="5FAE1852">
      <w:start w:val="1"/>
      <w:numFmt w:val="bullet"/>
      <w:lvlText w:val=""/>
      <w:lvlJc w:val="left"/>
      <w:pPr>
        <w:ind w:left="1080" w:hanging="360"/>
      </w:pPr>
      <w:rPr>
        <w:rFonts w:ascii="Symbol" w:hAnsi="Symbol"/>
      </w:rPr>
    </w:lvl>
    <w:lvl w:ilvl="4" w:tplc="5BCAD508">
      <w:start w:val="1"/>
      <w:numFmt w:val="bullet"/>
      <w:lvlText w:val=""/>
      <w:lvlJc w:val="left"/>
      <w:pPr>
        <w:ind w:left="1080" w:hanging="360"/>
      </w:pPr>
      <w:rPr>
        <w:rFonts w:ascii="Symbol" w:hAnsi="Symbol"/>
      </w:rPr>
    </w:lvl>
    <w:lvl w:ilvl="5" w:tplc="3C1C6BCC">
      <w:start w:val="1"/>
      <w:numFmt w:val="bullet"/>
      <w:lvlText w:val=""/>
      <w:lvlJc w:val="left"/>
      <w:pPr>
        <w:ind w:left="1080" w:hanging="360"/>
      </w:pPr>
      <w:rPr>
        <w:rFonts w:ascii="Symbol" w:hAnsi="Symbol"/>
      </w:rPr>
    </w:lvl>
    <w:lvl w:ilvl="6" w:tplc="C9E603E2">
      <w:start w:val="1"/>
      <w:numFmt w:val="bullet"/>
      <w:lvlText w:val=""/>
      <w:lvlJc w:val="left"/>
      <w:pPr>
        <w:ind w:left="1080" w:hanging="360"/>
      </w:pPr>
      <w:rPr>
        <w:rFonts w:ascii="Symbol" w:hAnsi="Symbol"/>
      </w:rPr>
    </w:lvl>
    <w:lvl w:ilvl="7" w:tplc="47501F52">
      <w:start w:val="1"/>
      <w:numFmt w:val="bullet"/>
      <w:lvlText w:val=""/>
      <w:lvlJc w:val="left"/>
      <w:pPr>
        <w:ind w:left="1080" w:hanging="360"/>
      </w:pPr>
      <w:rPr>
        <w:rFonts w:ascii="Symbol" w:hAnsi="Symbol"/>
      </w:rPr>
    </w:lvl>
    <w:lvl w:ilvl="8" w:tplc="E828D22E">
      <w:start w:val="1"/>
      <w:numFmt w:val="bullet"/>
      <w:lvlText w:val=""/>
      <w:lvlJc w:val="left"/>
      <w:pPr>
        <w:ind w:left="1080" w:hanging="360"/>
      </w:pPr>
      <w:rPr>
        <w:rFonts w:ascii="Symbol" w:hAnsi="Symbol"/>
      </w:rPr>
    </w:lvl>
  </w:abstractNum>
  <w:abstractNum w:abstractNumId="4" w15:restartNumberingAfterBreak="0">
    <w:nsid w:val="1575698E"/>
    <w:multiLevelType w:val="hybridMultilevel"/>
    <w:tmpl w:val="691487A0"/>
    <w:lvl w:ilvl="0" w:tplc="8A20987E">
      <w:start w:val="1"/>
      <w:numFmt w:val="bullet"/>
      <w:lvlText w:val=""/>
      <w:lvlJc w:val="left"/>
      <w:pPr>
        <w:ind w:left="1080" w:hanging="360"/>
      </w:pPr>
      <w:rPr>
        <w:rFonts w:ascii="Symbol" w:hAnsi="Symbol"/>
      </w:rPr>
    </w:lvl>
    <w:lvl w:ilvl="1" w:tplc="82766202">
      <w:start w:val="1"/>
      <w:numFmt w:val="bullet"/>
      <w:lvlText w:val=""/>
      <w:lvlJc w:val="left"/>
      <w:pPr>
        <w:ind w:left="1080" w:hanging="360"/>
      </w:pPr>
      <w:rPr>
        <w:rFonts w:ascii="Symbol" w:hAnsi="Symbol"/>
      </w:rPr>
    </w:lvl>
    <w:lvl w:ilvl="2" w:tplc="45E015BE">
      <w:start w:val="1"/>
      <w:numFmt w:val="bullet"/>
      <w:lvlText w:val=""/>
      <w:lvlJc w:val="left"/>
      <w:pPr>
        <w:ind w:left="1080" w:hanging="360"/>
      </w:pPr>
      <w:rPr>
        <w:rFonts w:ascii="Symbol" w:hAnsi="Symbol"/>
      </w:rPr>
    </w:lvl>
    <w:lvl w:ilvl="3" w:tplc="91BA3644">
      <w:start w:val="1"/>
      <w:numFmt w:val="bullet"/>
      <w:lvlText w:val=""/>
      <w:lvlJc w:val="left"/>
      <w:pPr>
        <w:ind w:left="1080" w:hanging="360"/>
      </w:pPr>
      <w:rPr>
        <w:rFonts w:ascii="Symbol" w:hAnsi="Symbol"/>
      </w:rPr>
    </w:lvl>
    <w:lvl w:ilvl="4" w:tplc="3148264A">
      <w:start w:val="1"/>
      <w:numFmt w:val="bullet"/>
      <w:lvlText w:val=""/>
      <w:lvlJc w:val="left"/>
      <w:pPr>
        <w:ind w:left="1080" w:hanging="360"/>
      </w:pPr>
      <w:rPr>
        <w:rFonts w:ascii="Symbol" w:hAnsi="Symbol"/>
      </w:rPr>
    </w:lvl>
    <w:lvl w:ilvl="5" w:tplc="69229CAA">
      <w:start w:val="1"/>
      <w:numFmt w:val="bullet"/>
      <w:lvlText w:val=""/>
      <w:lvlJc w:val="left"/>
      <w:pPr>
        <w:ind w:left="1080" w:hanging="360"/>
      </w:pPr>
      <w:rPr>
        <w:rFonts w:ascii="Symbol" w:hAnsi="Symbol"/>
      </w:rPr>
    </w:lvl>
    <w:lvl w:ilvl="6" w:tplc="999469F4">
      <w:start w:val="1"/>
      <w:numFmt w:val="bullet"/>
      <w:lvlText w:val=""/>
      <w:lvlJc w:val="left"/>
      <w:pPr>
        <w:ind w:left="1080" w:hanging="360"/>
      </w:pPr>
      <w:rPr>
        <w:rFonts w:ascii="Symbol" w:hAnsi="Symbol"/>
      </w:rPr>
    </w:lvl>
    <w:lvl w:ilvl="7" w:tplc="21E6BCDC">
      <w:start w:val="1"/>
      <w:numFmt w:val="bullet"/>
      <w:lvlText w:val=""/>
      <w:lvlJc w:val="left"/>
      <w:pPr>
        <w:ind w:left="1080" w:hanging="360"/>
      </w:pPr>
      <w:rPr>
        <w:rFonts w:ascii="Symbol" w:hAnsi="Symbol"/>
      </w:rPr>
    </w:lvl>
    <w:lvl w:ilvl="8" w:tplc="E1E0D784">
      <w:start w:val="1"/>
      <w:numFmt w:val="bullet"/>
      <w:lvlText w:val=""/>
      <w:lvlJc w:val="left"/>
      <w:pPr>
        <w:ind w:left="1080" w:hanging="360"/>
      </w:pPr>
      <w:rPr>
        <w:rFonts w:ascii="Symbol" w:hAnsi="Symbol"/>
      </w:rPr>
    </w:lvl>
  </w:abstractNum>
  <w:abstractNum w:abstractNumId="5" w15:restartNumberingAfterBreak="0">
    <w:nsid w:val="19290212"/>
    <w:multiLevelType w:val="hybridMultilevel"/>
    <w:tmpl w:val="57745302"/>
    <w:lvl w:ilvl="0" w:tplc="44090001">
      <w:start w:val="1"/>
      <w:numFmt w:val="bullet"/>
      <w:lvlText w:val=""/>
      <w:lvlJc w:val="left"/>
      <w:pPr>
        <w:ind w:left="801" w:hanging="360"/>
      </w:pPr>
      <w:rPr>
        <w:rFonts w:ascii="Symbol" w:hAnsi="Symbol" w:hint="default"/>
      </w:rPr>
    </w:lvl>
    <w:lvl w:ilvl="1" w:tplc="44090003" w:tentative="1">
      <w:start w:val="1"/>
      <w:numFmt w:val="bullet"/>
      <w:lvlText w:val="o"/>
      <w:lvlJc w:val="left"/>
      <w:pPr>
        <w:ind w:left="1521" w:hanging="360"/>
      </w:pPr>
      <w:rPr>
        <w:rFonts w:ascii="Courier New" w:hAnsi="Courier New" w:cs="Courier New" w:hint="default"/>
      </w:rPr>
    </w:lvl>
    <w:lvl w:ilvl="2" w:tplc="44090005" w:tentative="1">
      <w:start w:val="1"/>
      <w:numFmt w:val="bullet"/>
      <w:lvlText w:val=""/>
      <w:lvlJc w:val="left"/>
      <w:pPr>
        <w:ind w:left="2241" w:hanging="360"/>
      </w:pPr>
      <w:rPr>
        <w:rFonts w:ascii="Wingdings" w:hAnsi="Wingdings" w:hint="default"/>
      </w:rPr>
    </w:lvl>
    <w:lvl w:ilvl="3" w:tplc="44090001" w:tentative="1">
      <w:start w:val="1"/>
      <w:numFmt w:val="bullet"/>
      <w:lvlText w:val=""/>
      <w:lvlJc w:val="left"/>
      <w:pPr>
        <w:ind w:left="2961" w:hanging="360"/>
      </w:pPr>
      <w:rPr>
        <w:rFonts w:ascii="Symbol" w:hAnsi="Symbol" w:hint="default"/>
      </w:rPr>
    </w:lvl>
    <w:lvl w:ilvl="4" w:tplc="44090003" w:tentative="1">
      <w:start w:val="1"/>
      <w:numFmt w:val="bullet"/>
      <w:lvlText w:val="o"/>
      <w:lvlJc w:val="left"/>
      <w:pPr>
        <w:ind w:left="3681" w:hanging="360"/>
      </w:pPr>
      <w:rPr>
        <w:rFonts w:ascii="Courier New" w:hAnsi="Courier New" w:cs="Courier New" w:hint="default"/>
      </w:rPr>
    </w:lvl>
    <w:lvl w:ilvl="5" w:tplc="44090005" w:tentative="1">
      <w:start w:val="1"/>
      <w:numFmt w:val="bullet"/>
      <w:lvlText w:val=""/>
      <w:lvlJc w:val="left"/>
      <w:pPr>
        <w:ind w:left="4401" w:hanging="360"/>
      </w:pPr>
      <w:rPr>
        <w:rFonts w:ascii="Wingdings" w:hAnsi="Wingdings" w:hint="default"/>
      </w:rPr>
    </w:lvl>
    <w:lvl w:ilvl="6" w:tplc="44090001" w:tentative="1">
      <w:start w:val="1"/>
      <w:numFmt w:val="bullet"/>
      <w:lvlText w:val=""/>
      <w:lvlJc w:val="left"/>
      <w:pPr>
        <w:ind w:left="5121" w:hanging="360"/>
      </w:pPr>
      <w:rPr>
        <w:rFonts w:ascii="Symbol" w:hAnsi="Symbol" w:hint="default"/>
      </w:rPr>
    </w:lvl>
    <w:lvl w:ilvl="7" w:tplc="44090003" w:tentative="1">
      <w:start w:val="1"/>
      <w:numFmt w:val="bullet"/>
      <w:lvlText w:val="o"/>
      <w:lvlJc w:val="left"/>
      <w:pPr>
        <w:ind w:left="5841" w:hanging="360"/>
      </w:pPr>
      <w:rPr>
        <w:rFonts w:ascii="Courier New" w:hAnsi="Courier New" w:cs="Courier New" w:hint="default"/>
      </w:rPr>
    </w:lvl>
    <w:lvl w:ilvl="8" w:tplc="44090005" w:tentative="1">
      <w:start w:val="1"/>
      <w:numFmt w:val="bullet"/>
      <w:lvlText w:val=""/>
      <w:lvlJc w:val="left"/>
      <w:pPr>
        <w:ind w:left="6561" w:hanging="360"/>
      </w:pPr>
      <w:rPr>
        <w:rFonts w:ascii="Wingdings" w:hAnsi="Wingdings" w:hint="default"/>
      </w:rPr>
    </w:lvl>
  </w:abstractNum>
  <w:abstractNum w:abstractNumId="6" w15:restartNumberingAfterBreak="0">
    <w:nsid w:val="246D285E"/>
    <w:multiLevelType w:val="hybridMultilevel"/>
    <w:tmpl w:val="C8FC0486"/>
    <w:lvl w:ilvl="0" w:tplc="04090001">
      <w:start w:val="1"/>
      <w:numFmt w:val="bullet"/>
      <w:lvlText w:val=""/>
      <w:lvlJc w:val="left"/>
      <w:pPr>
        <w:ind w:left="865" w:hanging="440"/>
      </w:pPr>
      <w:rPr>
        <w:rFonts w:ascii="Wingdings" w:hAnsi="Wingdings"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abstractNum w:abstractNumId="7" w15:restartNumberingAfterBreak="0">
    <w:nsid w:val="3F543960"/>
    <w:multiLevelType w:val="hybridMultilevel"/>
    <w:tmpl w:val="BCCEE57C"/>
    <w:lvl w:ilvl="0" w:tplc="734ED938">
      <w:start w:val="1"/>
      <w:numFmt w:val="bullet"/>
      <w:lvlText w:val=""/>
      <w:lvlJc w:val="left"/>
      <w:pPr>
        <w:ind w:left="720" w:hanging="360"/>
      </w:pPr>
      <w:rPr>
        <w:rFonts w:ascii="Symbol" w:hAnsi="Symbol"/>
      </w:rPr>
    </w:lvl>
    <w:lvl w:ilvl="1" w:tplc="F5822E8C">
      <w:start w:val="1"/>
      <w:numFmt w:val="bullet"/>
      <w:lvlText w:val=""/>
      <w:lvlJc w:val="left"/>
      <w:pPr>
        <w:ind w:left="720" w:hanging="360"/>
      </w:pPr>
      <w:rPr>
        <w:rFonts w:ascii="Symbol" w:hAnsi="Symbol"/>
      </w:rPr>
    </w:lvl>
    <w:lvl w:ilvl="2" w:tplc="2946D594">
      <w:start w:val="1"/>
      <w:numFmt w:val="bullet"/>
      <w:lvlText w:val=""/>
      <w:lvlJc w:val="left"/>
      <w:pPr>
        <w:ind w:left="720" w:hanging="360"/>
      </w:pPr>
      <w:rPr>
        <w:rFonts w:ascii="Symbol" w:hAnsi="Symbol"/>
      </w:rPr>
    </w:lvl>
    <w:lvl w:ilvl="3" w:tplc="3746C0B2">
      <w:start w:val="1"/>
      <w:numFmt w:val="bullet"/>
      <w:lvlText w:val=""/>
      <w:lvlJc w:val="left"/>
      <w:pPr>
        <w:ind w:left="720" w:hanging="360"/>
      </w:pPr>
      <w:rPr>
        <w:rFonts w:ascii="Symbol" w:hAnsi="Symbol"/>
      </w:rPr>
    </w:lvl>
    <w:lvl w:ilvl="4" w:tplc="EDDE18CA">
      <w:start w:val="1"/>
      <w:numFmt w:val="bullet"/>
      <w:lvlText w:val=""/>
      <w:lvlJc w:val="left"/>
      <w:pPr>
        <w:ind w:left="720" w:hanging="360"/>
      </w:pPr>
      <w:rPr>
        <w:rFonts w:ascii="Symbol" w:hAnsi="Symbol"/>
      </w:rPr>
    </w:lvl>
    <w:lvl w:ilvl="5" w:tplc="805A9EF0">
      <w:start w:val="1"/>
      <w:numFmt w:val="bullet"/>
      <w:lvlText w:val=""/>
      <w:lvlJc w:val="left"/>
      <w:pPr>
        <w:ind w:left="720" w:hanging="360"/>
      </w:pPr>
      <w:rPr>
        <w:rFonts w:ascii="Symbol" w:hAnsi="Symbol"/>
      </w:rPr>
    </w:lvl>
    <w:lvl w:ilvl="6" w:tplc="E89C327E">
      <w:start w:val="1"/>
      <w:numFmt w:val="bullet"/>
      <w:lvlText w:val=""/>
      <w:lvlJc w:val="left"/>
      <w:pPr>
        <w:ind w:left="720" w:hanging="360"/>
      </w:pPr>
      <w:rPr>
        <w:rFonts w:ascii="Symbol" w:hAnsi="Symbol"/>
      </w:rPr>
    </w:lvl>
    <w:lvl w:ilvl="7" w:tplc="85BE3576">
      <w:start w:val="1"/>
      <w:numFmt w:val="bullet"/>
      <w:lvlText w:val=""/>
      <w:lvlJc w:val="left"/>
      <w:pPr>
        <w:ind w:left="720" w:hanging="360"/>
      </w:pPr>
      <w:rPr>
        <w:rFonts w:ascii="Symbol" w:hAnsi="Symbol"/>
      </w:rPr>
    </w:lvl>
    <w:lvl w:ilvl="8" w:tplc="8162274E">
      <w:start w:val="1"/>
      <w:numFmt w:val="bullet"/>
      <w:lvlText w:val=""/>
      <w:lvlJc w:val="left"/>
      <w:pPr>
        <w:ind w:left="720" w:hanging="360"/>
      </w:pPr>
      <w:rPr>
        <w:rFonts w:ascii="Symbol" w:hAnsi="Symbol"/>
      </w:rPr>
    </w:lvl>
  </w:abstractNum>
  <w:abstractNum w:abstractNumId="8" w15:restartNumberingAfterBreak="0">
    <w:nsid w:val="415F4EAA"/>
    <w:multiLevelType w:val="singleLevel"/>
    <w:tmpl w:val="415F4EAA"/>
    <w:lvl w:ilvl="0">
      <w:start w:val="1"/>
      <w:numFmt w:val="decimal"/>
      <w:lvlText w:val="%1."/>
      <w:lvlJc w:val="left"/>
      <w:pPr>
        <w:ind w:left="425" w:hanging="425"/>
      </w:pPr>
      <w:rPr>
        <w:rFonts w:ascii="Arial" w:hAnsi="Arial" w:cs="Arial" w:hint="default"/>
        <w:b/>
        <w:bCs/>
        <w:sz w:val="24"/>
        <w:szCs w:val="24"/>
      </w:rPr>
    </w:lvl>
  </w:abstractNum>
  <w:abstractNum w:abstractNumId="9" w15:restartNumberingAfterBreak="0">
    <w:nsid w:val="51986C8A"/>
    <w:multiLevelType w:val="multilevel"/>
    <w:tmpl w:val="5646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6C898"/>
    <w:multiLevelType w:val="singleLevel"/>
    <w:tmpl w:val="6756C898"/>
    <w:lvl w:ilvl="0">
      <w:start w:val="1"/>
      <w:numFmt w:val="upperLetter"/>
      <w:lvlText w:val="%1."/>
      <w:lvlJc w:val="left"/>
      <w:pPr>
        <w:ind w:left="425" w:hanging="425"/>
      </w:pPr>
      <w:rPr>
        <w:rFonts w:ascii="Arial" w:hAnsi="Arial" w:cs="Arial" w:hint="default"/>
        <w:b w:val="0"/>
        <w:bCs w:val="0"/>
        <w:sz w:val="24"/>
        <w:szCs w:val="24"/>
      </w:rPr>
    </w:lvl>
  </w:abstractNum>
  <w:abstractNum w:abstractNumId="11" w15:restartNumberingAfterBreak="0">
    <w:nsid w:val="7F29221E"/>
    <w:multiLevelType w:val="hybridMultilevel"/>
    <w:tmpl w:val="16B0E1D8"/>
    <w:lvl w:ilvl="0" w:tplc="44090001">
      <w:start w:val="1"/>
      <w:numFmt w:val="bullet"/>
      <w:lvlText w:val=""/>
      <w:lvlJc w:val="left"/>
      <w:pPr>
        <w:ind w:left="801" w:hanging="360"/>
      </w:pPr>
      <w:rPr>
        <w:rFonts w:ascii="Symbol" w:hAnsi="Symbol" w:hint="default"/>
      </w:rPr>
    </w:lvl>
    <w:lvl w:ilvl="1" w:tplc="44090003" w:tentative="1">
      <w:start w:val="1"/>
      <w:numFmt w:val="bullet"/>
      <w:lvlText w:val="o"/>
      <w:lvlJc w:val="left"/>
      <w:pPr>
        <w:ind w:left="1521" w:hanging="360"/>
      </w:pPr>
      <w:rPr>
        <w:rFonts w:ascii="Courier New" w:hAnsi="Courier New" w:cs="Courier New" w:hint="default"/>
      </w:rPr>
    </w:lvl>
    <w:lvl w:ilvl="2" w:tplc="44090005" w:tentative="1">
      <w:start w:val="1"/>
      <w:numFmt w:val="bullet"/>
      <w:lvlText w:val=""/>
      <w:lvlJc w:val="left"/>
      <w:pPr>
        <w:ind w:left="2241" w:hanging="360"/>
      </w:pPr>
      <w:rPr>
        <w:rFonts w:ascii="Wingdings" w:hAnsi="Wingdings" w:hint="default"/>
      </w:rPr>
    </w:lvl>
    <w:lvl w:ilvl="3" w:tplc="44090001" w:tentative="1">
      <w:start w:val="1"/>
      <w:numFmt w:val="bullet"/>
      <w:lvlText w:val=""/>
      <w:lvlJc w:val="left"/>
      <w:pPr>
        <w:ind w:left="2961" w:hanging="360"/>
      </w:pPr>
      <w:rPr>
        <w:rFonts w:ascii="Symbol" w:hAnsi="Symbol" w:hint="default"/>
      </w:rPr>
    </w:lvl>
    <w:lvl w:ilvl="4" w:tplc="44090003" w:tentative="1">
      <w:start w:val="1"/>
      <w:numFmt w:val="bullet"/>
      <w:lvlText w:val="o"/>
      <w:lvlJc w:val="left"/>
      <w:pPr>
        <w:ind w:left="3681" w:hanging="360"/>
      </w:pPr>
      <w:rPr>
        <w:rFonts w:ascii="Courier New" w:hAnsi="Courier New" w:cs="Courier New" w:hint="default"/>
      </w:rPr>
    </w:lvl>
    <w:lvl w:ilvl="5" w:tplc="44090005" w:tentative="1">
      <w:start w:val="1"/>
      <w:numFmt w:val="bullet"/>
      <w:lvlText w:val=""/>
      <w:lvlJc w:val="left"/>
      <w:pPr>
        <w:ind w:left="4401" w:hanging="360"/>
      </w:pPr>
      <w:rPr>
        <w:rFonts w:ascii="Wingdings" w:hAnsi="Wingdings" w:hint="default"/>
      </w:rPr>
    </w:lvl>
    <w:lvl w:ilvl="6" w:tplc="44090001" w:tentative="1">
      <w:start w:val="1"/>
      <w:numFmt w:val="bullet"/>
      <w:lvlText w:val=""/>
      <w:lvlJc w:val="left"/>
      <w:pPr>
        <w:ind w:left="5121" w:hanging="360"/>
      </w:pPr>
      <w:rPr>
        <w:rFonts w:ascii="Symbol" w:hAnsi="Symbol" w:hint="default"/>
      </w:rPr>
    </w:lvl>
    <w:lvl w:ilvl="7" w:tplc="44090003" w:tentative="1">
      <w:start w:val="1"/>
      <w:numFmt w:val="bullet"/>
      <w:lvlText w:val="o"/>
      <w:lvlJc w:val="left"/>
      <w:pPr>
        <w:ind w:left="5841" w:hanging="360"/>
      </w:pPr>
      <w:rPr>
        <w:rFonts w:ascii="Courier New" w:hAnsi="Courier New" w:cs="Courier New" w:hint="default"/>
      </w:rPr>
    </w:lvl>
    <w:lvl w:ilvl="8" w:tplc="44090005" w:tentative="1">
      <w:start w:val="1"/>
      <w:numFmt w:val="bullet"/>
      <w:lvlText w:val=""/>
      <w:lvlJc w:val="left"/>
      <w:pPr>
        <w:ind w:left="6561" w:hanging="360"/>
      </w:pPr>
      <w:rPr>
        <w:rFonts w:ascii="Wingdings" w:hAnsi="Wingdings" w:hint="default"/>
      </w:rPr>
    </w:lvl>
  </w:abstractNum>
  <w:num w:numId="1">
    <w:abstractNumId w:val="8"/>
  </w:num>
  <w:num w:numId="2">
    <w:abstractNumId w:val="10"/>
  </w:num>
  <w:num w:numId="3">
    <w:abstractNumId w:val="0"/>
  </w:num>
  <w:num w:numId="4">
    <w:abstractNumId w:val="1"/>
  </w:num>
  <w:num w:numId="5">
    <w:abstractNumId w:val="4"/>
  </w:num>
  <w:num w:numId="6">
    <w:abstractNumId w:val="7"/>
  </w:num>
  <w:num w:numId="7">
    <w:abstractNumId w:val="3"/>
  </w:num>
  <w:num w:numId="8">
    <w:abstractNumId w:val="2"/>
  </w:num>
  <w:num w:numId="9">
    <w:abstractNumId w:val="11"/>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wNgRCU2NTE2NDMyUdpeDU4uLM/DyQAtNaAKWIXeksAAAA"/>
    <w:docVar w:name="commondata" w:val="eyJoZGlkIjoiNmU4Y2U3YTE4MmY2NWQ0YjA0ZmFmZWYyMTM5MDBiMjUifQ=="/>
  </w:docVars>
  <w:rsids>
    <w:rsidRoot w:val="008D5858"/>
    <w:rsid w:val="00006FD9"/>
    <w:rsid w:val="000138EC"/>
    <w:rsid w:val="000254A0"/>
    <w:rsid w:val="00041601"/>
    <w:rsid w:val="0005176E"/>
    <w:rsid w:val="0005306B"/>
    <w:rsid w:val="00075212"/>
    <w:rsid w:val="000B43EA"/>
    <w:rsid w:val="00171052"/>
    <w:rsid w:val="00175E68"/>
    <w:rsid w:val="0018152F"/>
    <w:rsid w:val="001838B4"/>
    <w:rsid w:val="00195437"/>
    <w:rsid w:val="001B2B79"/>
    <w:rsid w:val="001C25F3"/>
    <w:rsid w:val="001E1325"/>
    <w:rsid w:val="001E53F7"/>
    <w:rsid w:val="001E5862"/>
    <w:rsid w:val="001F14A0"/>
    <w:rsid w:val="001F3B61"/>
    <w:rsid w:val="002221F4"/>
    <w:rsid w:val="00236366"/>
    <w:rsid w:val="00242F45"/>
    <w:rsid w:val="00265E32"/>
    <w:rsid w:val="00285F52"/>
    <w:rsid w:val="002A0C9F"/>
    <w:rsid w:val="002B320B"/>
    <w:rsid w:val="002D04FF"/>
    <w:rsid w:val="002E6342"/>
    <w:rsid w:val="002F085F"/>
    <w:rsid w:val="00301099"/>
    <w:rsid w:val="00315883"/>
    <w:rsid w:val="00367D2C"/>
    <w:rsid w:val="0037435B"/>
    <w:rsid w:val="0038652B"/>
    <w:rsid w:val="0039161D"/>
    <w:rsid w:val="003C228B"/>
    <w:rsid w:val="003D238C"/>
    <w:rsid w:val="003D45C8"/>
    <w:rsid w:val="003E19E6"/>
    <w:rsid w:val="003E593C"/>
    <w:rsid w:val="00410C5D"/>
    <w:rsid w:val="00411BCA"/>
    <w:rsid w:val="00435B43"/>
    <w:rsid w:val="0044724B"/>
    <w:rsid w:val="0047031B"/>
    <w:rsid w:val="00487C2F"/>
    <w:rsid w:val="00493E2B"/>
    <w:rsid w:val="004A01BC"/>
    <w:rsid w:val="004A56EC"/>
    <w:rsid w:val="004A702B"/>
    <w:rsid w:val="004B0A6F"/>
    <w:rsid w:val="00504C64"/>
    <w:rsid w:val="00511BC8"/>
    <w:rsid w:val="005532C7"/>
    <w:rsid w:val="00566B59"/>
    <w:rsid w:val="00582399"/>
    <w:rsid w:val="0059016F"/>
    <w:rsid w:val="0059331C"/>
    <w:rsid w:val="00597696"/>
    <w:rsid w:val="005A556D"/>
    <w:rsid w:val="005A6C65"/>
    <w:rsid w:val="005B07A8"/>
    <w:rsid w:val="005C553C"/>
    <w:rsid w:val="005D6845"/>
    <w:rsid w:val="005E4E84"/>
    <w:rsid w:val="006273D0"/>
    <w:rsid w:val="00633D21"/>
    <w:rsid w:val="00635689"/>
    <w:rsid w:val="00637E99"/>
    <w:rsid w:val="0064637D"/>
    <w:rsid w:val="00675D87"/>
    <w:rsid w:val="006A7A1F"/>
    <w:rsid w:val="006E0446"/>
    <w:rsid w:val="006F14CC"/>
    <w:rsid w:val="00705199"/>
    <w:rsid w:val="00740B85"/>
    <w:rsid w:val="007724A7"/>
    <w:rsid w:val="007C2EB6"/>
    <w:rsid w:val="0080118B"/>
    <w:rsid w:val="008229F4"/>
    <w:rsid w:val="00835037"/>
    <w:rsid w:val="00850C5B"/>
    <w:rsid w:val="0087080A"/>
    <w:rsid w:val="00875923"/>
    <w:rsid w:val="008D5858"/>
    <w:rsid w:val="008E098A"/>
    <w:rsid w:val="008F3A8F"/>
    <w:rsid w:val="0090476A"/>
    <w:rsid w:val="00922732"/>
    <w:rsid w:val="0092674E"/>
    <w:rsid w:val="009307EB"/>
    <w:rsid w:val="00934720"/>
    <w:rsid w:val="009611C6"/>
    <w:rsid w:val="00972904"/>
    <w:rsid w:val="009817DC"/>
    <w:rsid w:val="009A32D5"/>
    <w:rsid w:val="009C350C"/>
    <w:rsid w:val="009D6794"/>
    <w:rsid w:val="009F1815"/>
    <w:rsid w:val="00A03843"/>
    <w:rsid w:val="00A215AA"/>
    <w:rsid w:val="00A23B49"/>
    <w:rsid w:val="00A51CCF"/>
    <w:rsid w:val="00A622FC"/>
    <w:rsid w:val="00A665CC"/>
    <w:rsid w:val="00A77F40"/>
    <w:rsid w:val="00AA2BFC"/>
    <w:rsid w:val="00AA7AE1"/>
    <w:rsid w:val="00AB7A78"/>
    <w:rsid w:val="00AC7FBB"/>
    <w:rsid w:val="00AD18CA"/>
    <w:rsid w:val="00AD6792"/>
    <w:rsid w:val="00AE090C"/>
    <w:rsid w:val="00AE1E60"/>
    <w:rsid w:val="00B423DC"/>
    <w:rsid w:val="00B83190"/>
    <w:rsid w:val="00B944D5"/>
    <w:rsid w:val="00B96187"/>
    <w:rsid w:val="00B9743A"/>
    <w:rsid w:val="00BA41C5"/>
    <w:rsid w:val="00BB668F"/>
    <w:rsid w:val="00BE7BDB"/>
    <w:rsid w:val="00BF77CC"/>
    <w:rsid w:val="00C102AB"/>
    <w:rsid w:val="00C123EA"/>
    <w:rsid w:val="00C14190"/>
    <w:rsid w:val="00C2168F"/>
    <w:rsid w:val="00C3275B"/>
    <w:rsid w:val="00C330B7"/>
    <w:rsid w:val="00C4582C"/>
    <w:rsid w:val="00C60E06"/>
    <w:rsid w:val="00C70AAF"/>
    <w:rsid w:val="00C74DD9"/>
    <w:rsid w:val="00C83FD4"/>
    <w:rsid w:val="00C93583"/>
    <w:rsid w:val="00C965C6"/>
    <w:rsid w:val="00C96DED"/>
    <w:rsid w:val="00CA0E30"/>
    <w:rsid w:val="00CA467D"/>
    <w:rsid w:val="00CB184E"/>
    <w:rsid w:val="00CB4436"/>
    <w:rsid w:val="00CC758B"/>
    <w:rsid w:val="00CD609D"/>
    <w:rsid w:val="00CE5E7E"/>
    <w:rsid w:val="00CE7D7F"/>
    <w:rsid w:val="00D15591"/>
    <w:rsid w:val="00D16ECD"/>
    <w:rsid w:val="00D23A73"/>
    <w:rsid w:val="00D45D93"/>
    <w:rsid w:val="00D5001C"/>
    <w:rsid w:val="00D71CF8"/>
    <w:rsid w:val="00D726D2"/>
    <w:rsid w:val="00D77CED"/>
    <w:rsid w:val="00DB1218"/>
    <w:rsid w:val="00DB30E1"/>
    <w:rsid w:val="00DB5142"/>
    <w:rsid w:val="00DC1C6F"/>
    <w:rsid w:val="00DD3364"/>
    <w:rsid w:val="00DD3743"/>
    <w:rsid w:val="00DE1400"/>
    <w:rsid w:val="00E0654B"/>
    <w:rsid w:val="00E24F11"/>
    <w:rsid w:val="00E258EA"/>
    <w:rsid w:val="00E50E16"/>
    <w:rsid w:val="00E57BED"/>
    <w:rsid w:val="00E606ED"/>
    <w:rsid w:val="00E6540A"/>
    <w:rsid w:val="00E77720"/>
    <w:rsid w:val="00EB1B20"/>
    <w:rsid w:val="00EE2F9E"/>
    <w:rsid w:val="00EE6880"/>
    <w:rsid w:val="00F02D00"/>
    <w:rsid w:val="00F05BC1"/>
    <w:rsid w:val="00F27F05"/>
    <w:rsid w:val="00F55804"/>
    <w:rsid w:val="00F62D2D"/>
    <w:rsid w:val="00F66F29"/>
    <w:rsid w:val="00F92DA1"/>
    <w:rsid w:val="00FA3646"/>
    <w:rsid w:val="00FB2294"/>
    <w:rsid w:val="00FD6534"/>
    <w:rsid w:val="00FE2DD9"/>
    <w:rsid w:val="01394547"/>
    <w:rsid w:val="036F45B2"/>
    <w:rsid w:val="07DD4417"/>
    <w:rsid w:val="083D71F3"/>
    <w:rsid w:val="0AAB245B"/>
    <w:rsid w:val="0BFF2A12"/>
    <w:rsid w:val="0D6F3A7A"/>
    <w:rsid w:val="0D784A0E"/>
    <w:rsid w:val="0D927FE1"/>
    <w:rsid w:val="0DCC1AE1"/>
    <w:rsid w:val="108856CC"/>
    <w:rsid w:val="12521AED"/>
    <w:rsid w:val="13147480"/>
    <w:rsid w:val="1533502F"/>
    <w:rsid w:val="17350822"/>
    <w:rsid w:val="1884654A"/>
    <w:rsid w:val="19030290"/>
    <w:rsid w:val="1915658B"/>
    <w:rsid w:val="1ADC0A2B"/>
    <w:rsid w:val="1DD94024"/>
    <w:rsid w:val="24217571"/>
    <w:rsid w:val="243F2C87"/>
    <w:rsid w:val="24DA467B"/>
    <w:rsid w:val="26C009EF"/>
    <w:rsid w:val="27751129"/>
    <w:rsid w:val="2AF54935"/>
    <w:rsid w:val="2B64724D"/>
    <w:rsid w:val="2D3E7A68"/>
    <w:rsid w:val="2DBE3B18"/>
    <w:rsid w:val="2EA57459"/>
    <w:rsid w:val="2FDE53C3"/>
    <w:rsid w:val="2FE55A62"/>
    <w:rsid w:val="309F7DCB"/>
    <w:rsid w:val="30D07DE1"/>
    <w:rsid w:val="31185880"/>
    <w:rsid w:val="322734B3"/>
    <w:rsid w:val="329B4993"/>
    <w:rsid w:val="331F7372"/>
    <w:rsid w:val="37980055"/>
    <w:rsid w:val="386713C7"/>
    <w:rsid w:val="397D38D0"/>
    <w:rsid w:val="3D7700F6"/>
    <w:rsid w:val="3DE152C3"/>
    <w:rsid w:val="3E195E48"/>
    <w:rsid w:val="3FDC70D1"/>
    <w:rsid w:val="447B7530"/>
    <w:rsid w:val="471F502A"/>
    <w:rsid w:val="47A619B8"/>
    <w:rsid w:val="49755F8C"/>
    <w:rsid w:val="497D1B34"/>
    <w:rsid w:val="49F31EF7"/>
    <w:rsid w:val="4A483850"/>
    <w:rsid w:val="4B442FC1"/>
    <w:rsid w:val="4CB869A4"/>
    <w:rsid w:val="4CF267F7"/>
    <w:rsid w:val="4FA64AA9"/>
    <w:rsid w:val="5009491E"/>
    <w:rsid w:val="52BD4641"/>
    <w:rsid w:val="539A38DE"/>
    <w:rsid w:val="54194F9B"/>
    <w:rsid w:val="552837C6"/>
    <w:rsid w:val="56B62346"/>
    <w:rsid w:val="56C21567"/>
    <w:rsid w:val="57996E43"/>
    <w:rsid w:val="58917C6C"/>
    <w:rsid w:val="5ABB5905"/>
    <w:rsid w:val="5C8E097A"/>
    <w:rsid w:val="5C9C4A0E"/>
    <w:rsid w:val="5CF972F1"/>
    <w:rsid w:val="5D563723"/>
    <w:rsid w:val="5FC27DE3"/>
    <w:rsid w:val="60C66AD3"/>
    <w:rsid w:val="621964CF"/>
    <w:rsid w:val="629D3901"/>
    <w:rsid w:val="65483796"/>
    <w:rsid w:val="654E0609"/>
    <w:rsid w:val="662F2CE4"/>
    <w:rsid w:val="6663440D"/>
    <w:rsid w:val="67A65E02"/>
    <w:rsid w:val="695E7E86"/>
    <w:rsid w:val="697644AF"/>
    <w:rsid w:val="6C7B7DD3"/>
    <w:rsid w:val="6DB66549"/>
    <w:rsid w:val="6DB97FF3"/>
    <w:rsid w:val="71AA1635"/>
    <w:rsid w:val="7313175F"/>
    <w:rsid w:val="73A76BE6"/>
    <w:rsid w:val="741C69DA"/>
    <w:rsid w:val="745B39A7"/>
    <w:rsid w:val="78312478"/>
    <w:rsid w:val="79546F23"/>
    <w:rsid w:val="7A2E2284"/>
    <w:rsid w:val="7B0271A1"/>
    <w:rsid w:val="7B8766F4"/>
    <w:rsid w:val="7E016971"/>
    <w:rsid w:val="7E9176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5CF404"/>
  <w15:docId w15:val="{49199A07-E973-48B4-8D1B-BB25348A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pPr>
      <w:ind w:left="118" w:hanging="420"/>
      <w:outlineLvl w:val="0"/>
    </w:pPr>
    <w:rPr>
      <w:rFonts w:ascii="Calibri" w:eastAsia="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DB30E1"/>
  </w:style>
  <w:style w:type="paragraph" w:styleId="a5">
    <w:name w:val="Body Text"/>
    <w:basedOn w:val="a"/>
    <w:link w:val="a6"/>
    <w:uiPriority w:val="1"/>
    <w:qFormat/>
    <w:pPr>
      <w:ind w:leftChars="37" w:left="81"/>
      <w:jc w:val="both"/>
    </w:pPr>
    <w:rPr>
      <w:rFonts w:ascii="Calibri" w:eastAsia="Calibri" w:hAnsi="Calibri"/>
      <w:sz w:val="28"/>
      <w:szCs w:val="28"/>
    </w:rPr>
  </w:style>
  <w:style w:type="paragraph" w:styleId="a7">
    <w:name w:val="Body Text Indent"/>
    <w:basedOn w:val="a"/>
    <w:qFormat/>
    <w:pPr>
      <w:ind w:leftChars="300" w:left="720"/>
    </w:pPr>
    <w:rPr>
      <w:i/>
      <w:iCs/>
      <w:sz w:val="20"/>
    </w:rPr>
  </w:style>
  <w:style w:type="paragraph" w:styleId="a8">
    <w:name w:val="Balloon Text"/>
    <w:basedOn w:val="a"/>
    <w:link w:val="a9"/>
    <w:autoRedefine/>
    <w:uiPriority w:val="99"/>
    <w:semiHidden/>
    <w:unhideWhenUsed/>
    <w:qFormat/>
    <w:rPr>
      <w:sz w:val="18"/>
      <w:szCs w:val="18"/>
    </w:rPr>
  </w:style>
  <w:style w:type="paragraph" w:styleId="aa">
    <w:name w:val="footer"/>
    <w:basedOn w:val="a"/>
    <w:link w:val="ab"/>
    <w:autoRedefine/>
    <w:uiPriority w:val="99"/>
    <w:unhideWhenUsed/>
    <w:qFormat/>
    <w:pPr>
      <w:tabs>
        <w:tab w:val="center" w:pos="4153"/>
        <w:tab w:val="right" w:pos="8306"/>
      </w:tabs>
      <w:snapToGrid w:val="0"/>
    </w:pPr>
    <w:rPr>
      <w:sz w:val="18"/>
      <w:szCs w:val="18"/>
    </w:rPr>
  </w:style>
  <w:style w:type="paragraph" w:styleId="ac">
    <w:name w:val="header"/>
    <w:basedOn w:val="a"/>
    <w:link w:val="ad"/>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autoRedefine/>
    <w:uiPriority w:val="99"/>
    <w:semiHidden/>
    <w:unhideWhenUsed/>
    <w:qFormat/>
    <w:rPr>
      <w:b/>
      <w:bCs/>
    </w:rPr>
  </w:style>
  <w:style w:type="table" w:styleId="af0">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autoRedefine/>
    <w:uiPriority w:val="99"/>
    <w:unhideWhenUsed/>
    <w:qFormat/>
    <w:rPr>
      <w:color w:val="0000FF" w:themeColor="hyperlink"/>
      <w:u w:val="single"/>
    </w:rPr>
  </w:style>
  <w:style w:type="character" w:styleId="af2">
    <w:name w:val="annotation reference"/>
    <w:basedOn w:val="a0"/>
    <w:autoRedefine/>
    <w:uiPriority w:val="99"/>
    <w:semiHidden/>
    <w:unhideWhenUsed/>
    <w:qFormat/>
    <w:rPr>
      <w:sz w:val="21"/>
      <w:szCs w:val="21"/>
    </w:rPr>
  </w:style>
  <w:style w:type="table" w:customStyle="1" w:styleId="TableNormal1">
    <w:name w:val="Table Normal1"/>
    <w:autoRedefine/>
    <w:uiPriority w:val="2"/>
    <w:semiHidden/>
    <w:unhideWhenUsed/>
    <w:qFormat/>
    <w:tblPr>
      <w:tblCellMar>
        <w:top w:w="0" w:type="dxa"/>
        <w:left w:w="0" w:type="dxa"/>
        <w:bottom w:w="0" w:type="dxa"/>
        <w:right w:w="0" w:type="dxa"/>
      </w:tblCellMar>
    </w:tblPr>
  </w:style>
  <w:style w:type="paragraph" w:styleId="af3">
    <w:name w:val="List Paragraph"/>
    <w:basedOn w:val="a"/>
    <w:autoRedefine/>
    <w:uiPriority w:val="1"/>
    <w:qFormat/>
  </w:style>
  <w:style w:type="paragraph" w:customStyle="1" w:styleId="TableParagraph">
    <w:name w:val="Table Paragraph"/>
    <w:basedOn w:val="a"/>
    <w:autoRedefine/>
    <w:uiPriority w:val="1"/>
    <w:qFormat/>
  </w:style>
  <w:style w:type="character" w:customStyle="1" w:styleId="a9">
    <w:name w:val="批注框文本 字符"/>
    <w:basedOn w:val="a0"/>
    <w:link w:val="a8"/>
    <w:autoRedefine/>
    <w:uiPriority w:val="99"/>
    <w:semiHidden/>
    <w:qFormat/>
    <w:rPr>
      <w:sz w:val="18"/>
      <w:szCs w:val="18"/>
    </w:rPr>
  </w:style>
  <w:style w:type="character" w:customStyle="1" w:styleId="ad">
    <w:name w:val="页眉 字符"/>
    <w:basedOn w:val="a0"/>
    <w:link w:val="ac"/>
    <w:autoRedefine/>
    <w:uiPriority w:val="99"/>
    <w:qFormat/>
    <w:rPr>
      <w:sz w:val="18"/>
      <w:szCs w:val="18"/>
    </w:rPr>
  </w:style>
  <w:style w:type="character" w:customStyle="1" w:styleId="ab">
    <w:name w:val="页脚 字符"/>
    <w:basedOn w:val="a0"/>
    <w:link w:val="aa"/>
    <w:autoRedefine/>
    <w:uiPriority w:val="99"/>
    <w:qFormat/>
    <w:rPr>
      <w:sz w:val="18"/>
      <w:szCs w:val="18"/>
    </w:rPr>
  </w:style>
  <w:style w:type="character" w:customStyle="1" w:styleId="a4">
    <w:name w:val="批注文字 字符"/>
    <w:basedOn w:val="a0"/>
    <w:link w:val="a3"/>
    <w:autoRedefine/>
    <w:uiPriority w:val="99"/>
    <w:qFormat/>
    <w:rPr>
      <w:rFonts w:asciiTheme="minorHAnsi" w:eastAsiaTheme="minorEastAsia" w:hAnsiTheme="minorHAnsi" w:cstheme="minorBidi"/>
      <w:sz w:val="22"/>
      <w:szCs w:val="22"/>
      <w:lang w:eastAsia="en-US"/>
    </w:rPr>
  </w:style>
  <w:style w:type="character" w:customStyle="1" w:styleId="af">
    <w:name w:val="批注主题 字符"/>
    <w:basedOn w:val="a4"/>
    <w:link w:val="ae"/>
    <w:uiPriority w:val="99"/>
    <w:semiHidden/>
    <w:qFormat/>
    <w:rPr>
      <w:rFonts w:asciiTheme="minorHAnsi" w:eastAsiaTheme="minorEastAsia" w:hAnsiTheme="minorHAnsi" w:cstheme="minorBidi"/>
      <w:b/>
      <w:bCs/>
      <w:sz w:val="22"/>
      <w:szCs w:val="22"/>
      <w:lang w:eastAsia="en-US"/>
    </w:rPr>
  </w:style>
  <w:style w:type="character" w:customStyle="1" w:styleId="10">
    <w:name w:val="未处理的提及1"/>
    <w:basedOn w:val="a0"/>
    <w:autoRedefine/>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ableText">
    <w:name w:val="Table Text"/>
    <w:basedOn w:val="a"/>
    <w:semiHidden/>
    <w:qFormat/>
    <w:rPr>
      <w:rFonts w:ascii="Arial" w:eastAsia="Arial" w:hAnsi="Arial" w:cs="Arial"/>
      <w:sz w:val="19"/>
      <w:szCs w:val="19"/>
    </w:rPr>
  </w:style>
  <w:style w:type="paragraph" w:styleId="af4">
    <w:name w:val="Revision"/>
    <w:hidden/>
    <w:uiPriority w:val="99"/>
    <w:semiHidden/>
    <w:rsid w:val="005A6C65"/>
    <w:rPr>
      <w:rFonts w:asciiTheme="minorHAnsi" w:eastAsiaTheme="minorEastAsia" w:hAnsiTheme="minorHAnsi" w:cstheme="minorBidi"/>
      <w:sz w:val="22"/>
      <w:szCs w:val="22"/>
      <w:lang w:eastAsia="en-US"/>
    </w:rPr>
  </w:style>
  <w:style w:type="character" w:styleId="af5">
    <w:name w:val="Unresolved Mention"/>
    <w:basedOn w:val="a0"/>
    <w:uiPriority w:val="99"/>
    <w:semiHidden/>
    <w:unhideWhenUsed/>
    <w:rsid w:val="00835037"/>
    <w:rPr>
      <w:color w:val="605E5C"/>
      <w:shd w:val="clear" w:color="auto" w:fill="E1DFDD"/>
    </w:rPr>
  </w:style>
  <w:style w:type="paragraph" w:styleId="af6">
    <w:name w:val="Normal (Web)"/>
    <w:basedOn w:val="a"/>
    <w:uiPriority w:val="99"/>
    <w:semiHidden/>
    <w:unhideWhenUsed/>
    <w:rsid w:val="00835037"/>
    <w:rPr>
      <w:rFonts w:ascii="Times New Roman" w:hAnsi="Times New Roman" w:cs="Times New Roman"/>
      <w:sz w:val="24"/>
      <w:szCs w:val="24"/>
    </w:rPr>
  </w:style>
  <w:style w:type="character" w:customStyle="1" w:styleId="a6">
    <w:name w:val="正文文本 字符"/>
    <w:basedOn w:val="a0"/>
    <w:link w:val="a5"/>
    <w:uiPriority w:val="1"/>
    <w:rsid w:val="000254A0"/>
    <w:rPr>
      <w:rFonts w:ascii="Calibri" w:eastAsia="Calibri" w:hAnsi="Calibr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53009">
      <w:bodyDiv w:val="1"/>
      <w:marLeft w:val="0"/>
      <w:marRight w:val="0"/>
      <w:marTop w:val="0"/>
      <w:marBottom w:val="0"/>
      <w:divBdr>
        <w:top w:val="none" w:sz="0" w:space="0" w:color="auto"/>
        <w:left w:val="none" w:sz="0" w:space="0" w:color="auto"/>
        <w:bottom w:val="none" w:sz="0" w:space="0" w:color="auto"/>
        <w:right w:val="none" w:sz="0" w:space="0" w:color="auto"/>
      </w:divBdr>
    </w:div>
    <w:div w:id="661929072">
      <w:bodyDiv w:val="1"/>
      <w:marLeft w:val="0"/>
      <w:marRight w:val="0"/>
      <w:marTop w:val="0"/>
      <w:marBottom w:val="0"/>
      <w:divBdr>
        <w:top w:val="none" w:sz="0" w:space="0" w:color="auto"/>
        <w:left w:val="none" w:sz="0" w:space="0" w:color="auto"/>
        <w:bottom w:val="none" w:sz="0" w:space="0" w:color="auto"/>
        <w:right w:val="none" w:sz="0" w:space="0" w:color="auto"/>
      </w:divBdr>
    </w:div>
    <w:div w:id="823860133">
      <w:bodyDiv w:val="1"/>
      <w:marLeft w:val="0"/>
      <w:marRight w:val="0"/>
      <w:marTop w:val="0"/>
      <w:marBottom w:val="0"/>
      <w:divBdr>
        <w:top w:val="none" w:sz="0" w:space="0" w:color="auto"/>
        <w:left w:val="none" w:sz="0" w:space="0" w:color="auto"/>
        <w:bottom w:val="none" w:sz="0" w:space="0" w:color="auto"/>
        <w:right w:val="none" w:sz="0" w:space="0" w:color="auto"/>
      </w:divBdr>
    </w:div>
    <w:div w:id="1354920671">
      <w:bodyDiv w:val="1"/>
      <w:marLeft w:val="0"/>
      <w:marRight w:val="0"/>
      <w:marTop w:val="0"/>
      <w:marBottom w:val="0"/>
      <w:divBdr>
        <w:top w:val="none" w:sz="0" w:space="0" w:color="auto"/>
        <w:left w:val="none" w:sz="0" w:space="0" w:color="auto"/>
        <w:bottom w:val="none" w:sz="0" w:space="0" w:color="auto"/>
        <w:right w:val="none" w:sz="0" w:space="0" w:color="auto"/>
      </w:divBdr>
    </w:div>
    <w:div w:id="1494251778">
      <w:bodyDiv w:val="1"/>
      <w:marLeft w:val="0"/>
      <w:marRight w:val="0"/>
      <w:marTop w:val="0"/>
      <w:marBottom w:val="0"/>
      <w:divBdr>
        <w:top w:val="none" w:sz="0" w:space="0" w:color="auto"/>
        <w:left w:val="none" w:sz="0" w:space="0" w:color="auto"/>
        <w:bottom w:val="none" w:sz="0" w:space="0" w:color="auto"/>
        <w:right w:val="none" w:sz="0" w:space="0" w:color="auto"/>
      </w:divBdr>
    </w:div>
    <w:div w:id="1768695830">
      <w:bodyDiv w:val="1"/>
      <w:marLeft w:val="0"/>
      <w:marRight w:val="0"/>
      <w:marTop w:val="0"/>
      <w:marBottom w:val="0"/>
      <w:divBdr>
        <w:top w:val="none" w:sz="0" w:space="0" w:color="auto"/>
        <w:left w:val="none" w:sz="0" w:space="0" w:color="auto"/>
        <w:bottom w:val="none" w:sz="0" w:space="0" w:color="auto"/>
        <w:right w:val="none" w:sz="0" w:space="0" w:color="auto"/>
      </w:divBdr>
    </w:div>
    <w:div w:id="1888909537">
      <w:bodyDiv w:val="1"/>
      <w:marLeft w:val="0"/>
      <w:marRight w:val="0"/>
      <w:marTop w:val="0"/>
      <w:marBottom w:val="0"/>
      <w:divBdr>
        <w:top w:val="none" w:sz="0" w:space="0" w:color="auto"/>
        <w:left w:val="none" w:sz="0" w:space="0" w:color="auto"/>
        <w:bottom w:val="none" w:sz="0" w:space="0" w:color="auto"/>
        <w:right w:val="none" w:sz="0" w:space="0" w:color="auto"/>
      </w:divBdr>
    </w:div>
    <w:div w:id="1996756303">
      <w:bodyDiv w:val="1"/>
      <w:marLeft w:val="0"/>
      <w:marRight w:val="0"/>
      <w:marTop w:val="0"/>
      <w:marBottom w:val="0"/>
      <w:divBdr>
        <w:top w:val="none" w:sz="0" w:space="0" w:color="auto"/>
        <w:left w:val="none" w:sz="0" w:space="0" w:color="auto"/>
        <w:bottom w:val="none" w:sz="0" w:space="0" w:color="auto"/>
        <w:right w:val="none" w:sz="0" w:space="0" w:color="auto"/>
      </w:divBdr>
    </w:div>
    <w:div w:id="1999652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67B4-1B73-4686-BD7F-63396FEA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1579</Words>
  <Characters>8972</Characters>
  <Application>Microsoft Office Word</Application>
  <DocSecurity>0</DocSecurity>
  <Lines>289</Lines>
  <Paragraphs>188</Paragraphs>
  <ScaleCrop>false</ScaleCrop>
  <HeadingPairs>
    <vt:vector size="2" baseType="variant">
      <vt:variant>
        <vt:lpstr>Title</vt:lpstr>
      </vt:variant>
      <vt:variant>
        <vt:i4>1</vt:i4>
      </vt:variant>
    </vt:vector>
  </HeadingPairs>
  <TitlesOfParts>
    <vt:vector size="1" baseType="lpstr">
      <vt:lpstr>牙种植体系统使用说明书</vt:lpstr>
    </vt:vector>
  </TitlesOfParts>
  <Company>HP</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牙种植体系统使用说明书</dc:title>
  <dc:creator>lxc</dc:creator>
  <cp:lastModifiedBy>360785813@qq.com</cp:lastModifiedBy>
  <cp:revision>29</cp:revision>
  <cp:lastPrinted>2022-11-09T03:23:00Z</cp:lastPrinted>
  <dcterms:created xsi:type="dcterms:W3CDTF">2025-06-19T09:53:00Z</dcterms:created>
  <dcterms:modified xsi:type="dcterms:W3CDTF">2025-09-04T06:26:00Z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WPS 文字</vt:lpwstr>
  </property>
  <property fmtid="{D5CDD505-2E9C-101B-9397-08002B2CF9AE}" pid="4" name="LastSaved">
    <vt:filetime>2022-11-04T00:00:00Z</vt:filetime>
  </property>
  <property fmtid="{D5CDD505-2E9C-101B-9397-08002B2CF9AE}" pid="5" name="KSOProductBuildVer">
    <vt:lpwstr>2052-12.1.0.21541</vt:lpwstr>
  </property>
  <property fmtid="{D5CDD505-2E9C-101B-9397-08002B2CF9AE}" pid="6" name="ICV">
    <vt:lpwstr>85633D6AAA5D4283A9CB84C4D6126871_13</vt:lpwstr>
  </property>
  <property fmtid="{D5CDD505-2E9C-101B-9397-08002B2CF9AE}" pid="7" name="KSOTemplateDocerSaveRecord">
    <vt:lpwstr>eyJoZGlkIjoiNDU2ZWQwNjBmMWM0N2YyMDAyZDQ0ZjU3YzczYWEwZGYiLCJ1c2VySWQiOiIzMzQ0NDE0MDkifQ==</vt:lpwstr>
  </property>
  <property fmtid="{D5CDD505-2E9C-101B-9397-08002B2CF9AE}" pid="8" name="GrammarlyDocumentId">
    <vt:lpwstr>cc45ecad-ae46-4898-b226-db2bb2da4f1a</vt:lpwstr>
  </property>
</Properties>
</file>